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71" w:rsidRPr="00557271" w:rsidRDefault="00557271" w:rsidP="00557271">
      <w:pPr>
        <w:jc w:val="right"/>
        <w:rPr>
          <w:rFonts w:eastAsia="Times New Roman"/>
          <w:sz w:val="24"/>
          <w:szCs w:val="24"/>
          <w:lang w:eastAsia="ru-RU"/>
        </w:rPr>
      </w:pPr>
      <w:r w:rsidRPr="00557271">
        <w:rPr>
          <w:rFonts w:eastAsia="Times New Roman"/>
          <w:sz w:val="24"/>
          <w:szCs w:val="24"/>
          <w:lang w:eastAsia="ru-RU"/>
        </w:rPr>
        <w:t>УТВЕРЖДЕНО</w:t>
      </w:r>
    </w:p>
    <w:p w:rsidR="00557271" w:rsidRPr="00557271" w:rsidRDefault="0044718A" w:rsidP="00557271">
      <w:pPr>
        <w:jc w:val="right"/>
        <w:rPr>
          <w:rFonts w:eastAsia="Times New Roman"/>
          <w:sz w:val="24"/>
          <w:szCs w:val="24"/>
          <w:lang w:eastAsia="ru-RU"/>
        </w:rPr>
      </w:pPr>
      <w:r w:rsidRPr="00557271">
        <w:rPr>
          <w:rFonts w:eastAsia="Times New Roman"/>
          <w:sz w:val="24"/>
          <w:szCs w:val="24"/>
          <w:lang w:eastAsia="ru-RU"/>
        </w:rPr>
        <w:t>Советом</w:t>
      </w:r>
      <w:r w:rsidR="00557271" w:rsidRPr="00557271">
        <w:rPr>
          <w:rFonts w:eastAsia="Times New Roman"/>
          <w:sz w:val="24"/>
          <w:szCs w:val="24"/>
          <w:lang w:eastAsia="ru-RU"/>
        </w:rPr>
        <w:t xml:space="preserve"> директоров</w:t>
      </w:r>
    </w:p>
    <w:p w:rsidR="00557271" w:rsidRPr="00557271" w:rsidRDefault="00557271" w:rsidP="00557271">
      <w:pPr>
        <w:jc w:val="right"/>
        <w:rPr>
          <w:rFonts w:eastAsia="Times New Roman"/>
          <w:sz w:val="24"/>
          <w:szCs w:val="24"/>
          <w:lang w:eastAsia="ru-RU"/>
        </w:rPr>
      </w:pPr>
      <w:r w:rsidRPr="00557271">
        <w:rPr>
          <w:rFonts w:eastAsia="Times New Roman"/>
          <w:sz w:val="24"/>
          <w:szCs w:val="24"/>
          <w:lang w:eastAsia="ru-RU"/>
        </w:rPr>
        <w:t>Общества с ограниченной ответственностью</w:t>
      </w:r>
    </w:p>
    <w:p w:rsidR="00557271" w:rsidRPr="00557271" w:rsidRDefault="00557271" w:rsidP="00557271">
      <w:pPr>
        <w:jc w:val="right"/>
        <w:rPr>
          <w:rFonts w:eastAsia="Times New Roman"/>
          <w:sz w:val="24"/>
          <w:szCs w:val="24"/>
          <w:lang w:eastAsia="ru-RU"/>
        </w:rPr>
      </w:pPr>
      <w:r w:rsidRPr="00557271">
        <w:rPr>
          <w:rFonts w:eastAsia="Times New Roman"/>
          <w:sz w:val="24"/>
          <w:szCs w:val="24"/>
          <w:lang w:eastAsia="ru-RU"/>
        </w:rPr>
        <w:t>«Московские партнеры»</w:t>
      </w:r>
    </w:p>
    <w:p w:rsidR="00557271" w:rsidRPr="00557271" w:rsidRDefault="00557271" w:rsidP="00557271">
      <w:pPr>
        <w:jc w:val="right"/>
        <w:rPr>
          <w:rFonts w:eastAsia="Times New Roman"/>
          <w:sz w:val="24"/>
          <w:szCs w:val="24"/>
          <w:lang w:eastAsia="ru-RU"/>
        </w:rPr>
      </w:pPr>
      <w:r w:rsidRPr="00557271">
        <w:rPr>
          <w:rFonts w:eastAsia="Times New Roman"/>
          <w:sz w:val="24"/>
          <w:szCs w:val="24"/>
          <w:lang w:eastAsia="ru-RU"/>
        </w:rPr>
        <w:t>Протокол № 20/05 от 20 мая 2016 г.</w:t>
      </w:r>
    </w:p>
    <w:p w:rsidR="00B32D5C" w:rsidRPr="00B32D5C" w:rsidRDefault="00B32D5C" w:rsidP="00B32D5C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B32D5C" w:rsidRDefault="00B32D5C" w:rsidP="00E3211B">
      <w:pPr>
        <w:jc w:val="center"/>
        <w:rPr>
          <w:b/>
          <w:bCs/>
          <w:sz w:val="24"/>
          <w:szCs w:val="24"/>
        </w:rPr>
      </w:pPr>
    </w:p>
    <w:p w:rsidR="00B32D5C" w:rsidRDefault="00B32D5C" w:rsidP="00E3211B">
      <w:pPr>
        <w:jc w:val="center"/>
        <w:rPr>
          <w:b/>
          <w:bCs/>
          <w:sz w:val="24"/>
          <w:szCs w:val="24"/>
        </w:rPr>
      </w:pPr>
    </w:p>
    <w:p w:rsidR="007605B5" w:rsidRDefault="00017F70" w:rsidP="00E3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стандартных стратегий</w:t>
      </w:r>
      <w:r w:rsidR="00E3211B">
        <w:rPr>
          <w:b/>
          <w:bCs/>
          <w:sz w:val="24"/>
          <w:szCs w:val="24"/>
        </w:rPr>
        <w:t xml:space="preserve"> управления </w:t>
      </w:r>
      <w:r>
        <w:rPr>
          <w:b/>
          <w:bCs/>
          <w:sz w:val="24"/>
          <w:szCs w:val="24"/>
        </w:rPr>
        <w:t xml:space="preserve">и </w:t>
      </w:r>
      <w:r w:rsidR="00E40393" w:rsidRPr="00E40393">
        <w:rPr>
          <w:b/>
          <w:bCs/>
          <w:sz w:val="24"/>
          <w:szCs w:val="24"/>
        </w:rPr>
        <w:t xml:space="preserve">стандартных инвестиционных </w:t>
      </w:r>
      <w:r>
        <w:rPr>
          <w:b/>
          <w:bCs/>
          <w:sz w:val="24"/>
          <w:szCs w:val="24"/>
        </w:rPr>
        <w:t xml:space="preserve">профилей </w:t>
      </w:r>
    </w:p>
    <w:p w:rsidR="00E3211B" w:rsidRDefault="00E3211B" w:rsidP="00E321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«Московские партнеры»</w:t>
      </w:r>
    </w:p>
    <w:p w:rsidR="00E3211B" w:rsidRDefault="00E3211B" w:rsidP="00F55852">
      <w:pPr>
        <w:rPr>
          <w:b/>
          <w:bCs/>
          <w:sz w:val="24"/>
          <w:szCs w:val="24"/>
        </w:rPr>
      </w:pPr>
    </w:p>
    <w:p w:rsidR="00E3211B" w:rsidRDefault="00E3211B" w:rsidP="00F55852">
      <w:pPr>
        <w:rPr>
          <w:b/>
          <w:bCs/>
          <w:sz w:val="24"/>
          <w:szCs w:val="24"/>
        </w:rPr>
      </w:pPr>
    </w:p>
    <w:p w:rsidR="00F55852" w:rsidRDefault="00C43E6E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Инвестиционный профиль: Стратегия «</w:t>
      </w:r>
      <w:r w:rsidR="00F55852">
        <w:rPr>
          <w:b/>
          <w:bCs/>
          <w:sz w:val="24"/>
          <w:szCs w:val="24"/>
        </w:rPr>
        <w:t>Консервативная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доходность выше депозита в надежном банке, вложения в надежные облигации и еврооблигации, а также дивидендные акции эмитентов, низкая склонность к риску.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«Консервативная»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до 10 % годовых.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15 %.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F55852" w:rsidRDefault="00F55852" w:rsidP="00F55852">
      <w:pPr>
        <w:rPr>
          <w:b/>
          <w:bCs/>
          <w:sz w:val="24"/>
          <w:szCs w:val="24"/>
        </w:rPr>
      </w:pPr>
    </w:p>
    <w:p w:rsidR="00F55852" w:rsidRDefault="00C43E6E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Инвестиционный профиль</w:t>
      </w:r>
      <w:r>
        <w:rPr>
          <w:b/>
          <w:bCs/>
          <w:sz w:val="24"/>
          <w:szCs w:val="24"/>
        </w:rPr>
        <w:t xml:space="preserve">: </w:t>
      </w:r>
      <w:r w:rsidR="00E45E0B">
        <w:rPr>
          <w:b/>
          <w:bCs/>
          <w:sz w:val="24"/>
          <w:szCs w:val="24"/>
        </w:rPr>
        <w:t xml:space="preserve">Стратегия: </w:t>
      </w:r>
      <w:r>
        <w:rPr>
          <w:b/>
          <w:bCs/>
          <w:sz w:val="24"/>
          <w:szCs w:val="24"/>
        </w:rPr>
        <w:t>«</w:t>
      </w:r>
      <w:r w:rsidR="00F55852">
        <w:rPr>
          <w:b/>
          <w:bCs/>
          <w:sz w:val="24"/>
          <w:szCs w:val="24"/>
        </w:rPr>
        <w:t>Сбалансированная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средний уровень доходности от любых движений рынка как вниз, так и вверх, относительно высокие риски, равновесное распределение имущества клиента между акциями и облигациями.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«Сбалансированная»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от 10 % до 15 % годовых.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20 %.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Доходность стратегии не предусматривает зависимость от изменения индексов или иных целевых показателей.</w:t>
      </w:r>
    </w:p>
    <w:p w:rsidR="00F55852" w:rsidRDefault="00F55852" w:rsidP="00F55852">
      <w:pPr>
        <w:rPr>
          <w:b/>
          <w:bCs/>
          <w:sz w:val="24"/>
          <w:szCs w:val="24"/>
        </w:rPr>
      </w:pPr>
    </w:p>
    <w:p w:rsidR="00812919" w:rsidRDefault="00812919" w:rsidP="00F55852">
      <w:pPr>
        <w:rPr>
          <w:b/>
          <w:bCs/>
          <w:sz w:val="24"/>
          <w:szCs w:val="24"/>
        </w:rPr>
      </w:pPr>
    </w:p>
    <w:p w:rsidR="00F55852" w:rsidRDefault="00C43E6E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Инвестиционный профиль</w:t>
      </w:r>
      <w:r>
        <w:rPr>
          <w:b/>
          <w:bCs/>
          <w:sz w:val="24"/>
          <w:szCs w:val="24"/>
        </w:rPr>
        <w:t>: Стратегия «</w:t>
      </w:r>
      <w:r w:rsidR="00F55852">
        <w:rPr>
          <w:b/>
          <w:bCs/>
          <w:sz w:val="24"/>
          <w:szCs w:val="24"/>
        </w:rPr>
        <w:t>Ликвидные инструменты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Основные особенности: доходность выше среднего от любых движений рынка вниз, так и вверх, относительно высокие риски, большое значение придается уровню ликвидности инвестиционного портфеля.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«Консервативная» содержатся в Декларация о рисках, размещенных на сайте Управляющего, в разделе Продукты и услуги/Доверительное управление и в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от 15 % до 20 % годовых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25 %.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3937F1" w:rsidRDefault="003937F1" w:rsidP="00F55852">
      <w:pPr>
        <w:rPr>
          <w:b/>
          <w:bCs/>
          <w:sz w:val="24"/>
          <w:szCs w:val="24"/>
        </w:rPr>
      </w:pPr>
    </w:p>
    <w:p w:rsidR="00F55852" w:rsidRDefault="00C43E6E" w:rsidP="00F55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Инвестиционный профиль</w:t>
      </w:r>
      <w:r>
        <w:rPr>
          <w:b/>
          <w:bCs/>
          <w:sz w:val="24"/>
          <w:szCs w:val="24"/>
        </w:rPr>
        <w:t>: Стратегия «</w:t>
      </w:r>
      <w:r w:rsidR="00F55852">
        <w:rPr>
          <w:b/>
          <w:bCs/>
          <w:sz w:val="24"/>
          <w:szCs w:val="24"/>
        </w:rPr>
        <w:t>Акции роста</w:t>
      </w:r>
      <w:r>
        <w:rPr>
          <w:b/>
          <w:bCs/>
          <w:sz w:val="24"/>
          <w:szCs w:val="24"/>
        </w:rPr>
        <w:t>»</w:t>
      </w:r>
      <w:r w:rsidR="00F55852">
        <w:rPr>
          <w:b/>
          <w:bCs/>
          <w:sz w:val="24"/>
          <w:szCs w:val="24"/>
        </w:rPr>
        <w:t xml:space="preserve"> 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Основные особенности: высокая доходность от инвестиций в акции фундаментально недооценённых эмитентов, высокий риск, присущий данным инвестициям, уровень ликвидности не имеет большого значения.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Описание рисков, связанных со стратегий управления «Акции роста» содержатся в Декларация о рисках, размещенных на сайте Управляющего, в разделе Продукты и услуги/Доверительное управление и Приложении № 2 к Договору доверительного управления ценными бумагами.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Величина ожидаемой доходности в рублях РФ – 20 % годовых и более.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Инвестиционный горизонт – 12 месяцев.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Допустимый уровень риска в процентах к рыночной стоимости активов – 40 %.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вознаграждении Управляющего предоставлена в Договоре доверительного управления, Ст. 9.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Информация о расходах. Оплата расходов, связанных с доверительным управлением, осуществляются Управляющим самостоятельно (без акцепта Учредителя управления) непосредственно за счет активов, находящихся в доверительном управлении, в соответствии со Ст. 10 Договора доверительного управления.</w:t>
      </w:r>
    </w:p>
    <w:p w:rsidR="00F55852" w:rsidRDefault="00F55852" w:rsidP="00F558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Доходность стратегии не предусматривает зависимость от изменения индексов или иных целевых показателей.</w:t>
      </w:r>
    </w:p>
    <w:p w:rsidR="00492C3B" w:rsidRDefault="00492C3B"/>
    <w:sectPr w:rsidR="00492C3B" w:rsidSect="0016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5D87"/>
    <w:multiLevelType w:val="multilevel"/>
    <w:tmpl w:val="846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1C"/>
    <w:rsid w:val="00017F70"/>
    <w:rsid w:val="0009550B"/>
    <w:rsid w:val="00163899"/>
    <w:rsid w:val="003502C5"/>
    <w:rsid w:val="003937F1"/>
    <w:rsid w:val="0044718A"/>
    <w:rsid w:val="00492C3B"/>
    <w:rsid w:val="00557271"/>
    <w:rsid w:val="00640D1C"/>
    <w:rsid w:val="007605B5"/>
    <w:rsid w:val="00812919"/>
    <w:rsid w:val="008F1EFB"/>
    <w:rsid w:val="00904FDB"/>
    <w:rsid w:val="00996C48"/>
    <w:rsid w:val="00B32D5C"/>
    <w:rsid w:val="00B46833"/>
    <w:rsid w:val="00C43E6E"/>
    <w:rsid w:val="00DE35C0"/>
    <w:rsid w:val="00E3211B"/>
    <w:rsid w:val="00E40393"/>
    <w:rsid w:val="00E45E0B"/>
    <w:rsid w:val="00F55852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712C22-B000-4554-84BA-D1A7B2E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2019-12-26T15:19:00Z</dcterms:created>
  <dcterms:modified xsi:type="dcterms:W3CDTF">2020-09-20T01:25:00Z</dcterms:modified>
</cp:coreProperties>
</file>