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B0" w:rsidRPr="002A4BB0" w:rsidRDefault="002A4BB0" w:rsidP="002A4BB0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2A4BB0">
        <w:rPr>
          <w:rFonts w:eastAsia="Times New Roman"/>
          <w:sz w:val="24"/>
          <w:szCs w:val="24"/>
          <w:lang w:eastAsia="ru-RU"/>
        </w:rPr>
        <w:t>УТВЕРЖДЕНО</w:t>
      </w:r>
    </w:p>
    <w:p w:rsidR="002A4BB0" w:rsidRPr="002A4BB0" w:rsidRDefault="002A4BB0" w:rsidP="002A4BB0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2A4BB0">
        <w:rPr>
          <w:rFonts w:eastAsia="Times New Roman"/>
          <w:sz w:val="24"/>
          <w:szCs w:val="24"/>
          <w:lang w:eastAsia="ru-RU"/>
        </w:rPr>
        <w:t>Советом директоров</w:t>
      </w:r>
    </w:p>
    <w:p w:rsidR="002A4BB0" w:rsidRPr="002A4BB0" w:rsidRDefault="002A4BB0" w:rsidP="002A4BB0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2A4BB0">
        <w:rPr>
          <w:rFonts w:eastAsia="Times New Roman"/>
          <w:sz w:val="24"/>
          <w:szCs w:val="24"/>
          <w:lang w:eastAsia="ru-RU"/>
        </w:rPr>
        <w:t>Общества с ограниченной ответственностью</w:t>
      </w:r>
    </w:p>
    <w:p w:rsidR="002A4BB0" w:rsidRPr="002A4BB0" w:rsidRDefault="002A4BB0" w:rsidP="002A4BB0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2A4BB0">
        <w:rPr>
          <w:rFonts w:eastAsia="Times New Roman"/>
          <w:sz w:val="24"/>
          <w:szCs w:val="24"/>
          <w:lang w:eastAsia="ru-RU"/>
        </w:rPr>
        <w:t>«Московские партнеры»</w:t>
      </w:r>
    </w:p>
    <w:p w:rsidR="002A4BB0" w:rsidRPr="002A4BB0" w:rsidRDefault="002A4BB0" w:rsidP="002A4BB0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B32D5C" w:rsidRPr="00B32D5C" w:rsidRDefault="002A4BB0" w:rsidP="002A4BB0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2A4BB0">
        <w:rPr>
          <w:rFonts w:eastAsia="Times New Roman"/>
          <w:sz w:val="24"/>
          <w:szCs w:val="24"/>
          <w:lang w:eastAsia="ru-RU"/>
        </w:rPr>
        <w:t>Протокол № 04/05 от «04» мая 2018 г</w:t>
      </w:r>
    </w:p>
    <w:p w:rsidR="00B32D5C" w:rsidRDefault="00B32D5C" w:rsidP="00E3211B">
      <w:pPr>
        <w:jc w:val="center"/>
        <w:rPr>
          <w:b/>
          <w:bCs/>
          <w:sz w:val="24"/>
          <w:szCs w:val="24"/>
        </w:rPr>
      </w:pPr>
    </w:p>
    <w:p w:rsidR="00B32D5C" w:rsidRDefault="00B32D5C" w:rsidP="00E3211B">
      <w:pPr>
        <w:jc w:val="center"/>
        <w:rPr>
          <w:b/>
          <w:bCs/>
          <w:sz w:val="24"/>
          <w:szCs w:val="24"/>
        </w:rPr>
      </w:pPr>
    </w:p>
    <w:p w:rsidR="007605B5" w:rsidRDefault="00017F70" w:rsidP="00E32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стандартных стратегий</w:t>
      </w:r>
      <w:r w:rsidR="00E3211B">
        <w:rPr>
          <w:b/>
          <w:bCs/>
          <w:sz w:val="24"/>
          <w:szCs w:val="24"/>
        </w:rPr>
        <w:t xml:space="preserve"> управления </w:t>
      </w:r>
      <w:r>
        <w:rPr>
          <w:b/>
          <w:bCs/>
          <w:sz w:val="24"/>
          <w:szCs w:val="24"/>
        </w:rPr>
        <w:t xml:space="preserve">и </w:t>
      </w:r>
      <w:r w:rsidR="00E40393" w:rsidRPr="00E40393">
        <w:rPr>
          <w:b/>
          <w:bCs/>
          <w:sz w:val="24"/>
          <w:szCs w:val="24"/>
        </w:rPr>
        <w:t xml:space="preserve">стандартных инвестиционных </w:t>
      </w:r>
      <w:r>
        <w:rPr>
          <w:b/>
          <w:bCs/>
          <w:sz w:val="24"/>
          <w:szCs w:val="24"/>
        </w:rPr>
        <w:t xml:space="preserve">профилей </w:t>
      </w:r>
    </w:p>
    <w:p w:rsidR="00E3211B" w:rsidRDefault="00E3211B" w:rsidP="00E32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«Московские партнеры»</w:t>
      </w:r>
    </w:p>
    <w:p w:rsidR="00E3211B" w:rsidRDefault="00E3211B" w:rsidP="00F55852">
      <w:pPr>
        <w:rPr>
          <w:b/>
          <w:bCs/>
          <w:sz w:val="24"/>
          <w:szCs w:val="24"/>
        </w:rPr>
      </w:pPr>
    </w:p>
    <w:p w:rsidR="00E3211B" w:rsidRDefault="00E3211B" w:rsidP="00F55852">
      <w:pPr>
        <w:rPr>
          <w:b/>
          <w:bCs/>
          <w:sz w:val="24"/>
          <w:szCs w:val="24"/>
        </w:rPr>
      </w:pPr>
    </w:p>
    <w:p w:rsidR="00F55852" w:rsidRDefault="007C3F44" w:rsidP="002852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Инвестиционный профиль</w:t>
      </w:r>
      <w:r w:rsidR="00017F7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Стратегия</w:t>
      </w:r>
      <w:r>
        <w:rPr>
          <w:b/>
          <w:bCs/>
          <w:sz w:val="24"/>
          <w:szCs w:val="24"/>
        </w:rPr>
        <w:t xml:space="preserve"> «</w:t>
      </w:r>
      <w:r w:rsidR="00F55852">
        <w:rPr>
          <w:b/>
          <w:bCs/>
          <w:sz w:val="24"/>
          <w:szCs w:val="24"/>
        </w:rPr>
        <w:t>Консервативная</w:t>
      </w:r>
      <w:r>
        <w:rPr>
          <w:b/>
          <w:bCs/>
          <w:sz w:val="24"/>
          <w:szCs w:val="24"/>
        </w:rPr>
        <w:t>»</w:t>
      </w:r>
      <w:r w:rsidR="00F55852">
        <w:rPr>
          <w:b/>
          <w:bCs/>
          <w:sz w:val="24"/>
          <w:szCs w:val="24"/>
        </w:rPr>
        <w:t xml:space="preserve"> 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Основные особенности: доходность выше депозита в надежном банке, вложения в надежные облигации и еврооблигации, а также дивидендные акции эмитентов, низкая склонность к риску.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Описание рисков, связанных со стратегий управления «Консервативная» содержатся в Декларация о рисках, размещенных на сайте Управляющего, в разделе Продукты и услуги/Доверительное управление и в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до 10 % годовых.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15 %.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вознаграждении Управляющего предоставлена в Договоре доверительного управления, Ст. 9.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Доходность стратегии не предусматривает зависимость от изменения индексов или иных целевых показателей.</w:t>
      </w:r>
    </w:p>
    <w:p w:rsidR="007C3F44" w:rsidRPr="007C3F44" w:rsidRDefault="007C3F44" w:rsidP="007C3F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>П</w:t>
      </w:r>
      <w:r w:rsidRPr="007C3F44">
        <w:rPr>
          <w:rFonts w:eastAsia="Times New Roman"/>
          <w:sz w:val="24"/>
          <w:szCs w:val="24"/>
          <w:lang w:eastAsia="ru-RU"/>
        </w:rPr>
        <w:t>редполагаемый возраст физического лица, которому может предлагаться данная стратегия (только для физических лиц)</w:t>
      </w:r>
      <w:r w:rsidRPr="007C3F44">
        <w:rPr>
          <w:rFonts w:eastAsia="Times New Roman"/>
          <w:sz w:val="24"/>
          <w:szCs w:val="24"/>
          <w:lang w:eastAsia="ru-RU"/>
        </w:rPr>
        <w:t xml:space="preserve"> -</w:t>
      </w:r>
      <w:r w:rsidRPr="007C3F44">
        <w:rPr>
          <w:rFonts w:eastAsia="Times New Roman"/>
          <w:sz w:val="24"/>
          <w:szCs w:val="24"/>
          <w:lang w:eastAsia="ru-RU"/>
        </w:rPr>
        <w:t xml:space="preserve"> до 25 лет, от 25 до 55 лет, старше 55 лет</w:t>
      </w:r>
      <w:r w:rsidRPr="007C3F44">
        <w:rPr>
          <w:rFonts w:eastAsia="Times New Roman"/>
          <w:sz w:val="24"/>
          <w:szCs w:val="24"/>
          <w:lang w:eastAsia="ru-RU"/>
        </w:rPr>
        <w:t>.</w:t>
      </w:r>
    </w:p>
    <w:p w:rsidR="007C3F44" w:rsidRPr="007C3F44" w:rsidRDefault="007C3F44" w:rsidP="007C3F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>П</w:t>
      </w:r>
      <w:r w:rsidRPr="007C3F44">
        <w:rPr>
          <w:rFonts w:eastAsia="Times New Roman"/>
          <w:sz w:val="24"/>
          <w:szCs w:val="24"/>
          <w:lang w:eastAsia="ru-RU"/>
        </w:rPr>
        <w:t>римерные среднемесячные доходы и примерные среднемесячные расходы за последние 12 месяцев физического лица, которому может предлагаться данная стандартная стратегия управле</w:t>
      </w:r>
      <w:r w:rsidRPr="007C3F44">
        <w:rPr>
          <w:rFonts w:eastAsia="Times New Roman"/>
          <w:sz w:val="24"/>
          <w:szCs w:val="24"/>
          <w:lang w:eastAsia="ru-RU"/>
        </w:rPr>
        <w:t xml:space="preserve">ния (только для физических лиц) - </w:t>
      </w:r>
      <w:r w:rsidRPr="007C3F44">
        <w:rPr>
          <w:rFonts w:eastAsia="Times New Roman"/>
          <w:sz w:val="24"/>
          <w:szCs w:val="24"/>
          <w:lang w:eastAsia="ru-RU"/>
        </w:rPr>
        <w:t>среднемесячные доходы могут как превышать, так и не превышать среднемесячные расходы.</w:t>
      </w:r>
    </w:p>
    <w:p w:rsidR="00F55852" w:rsidRDefault="00F55852" w:rsidP="007C3F44">
      <w:pPr>
        <w:pStyle w:val="a3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55852" w:rsidRDefault="007C3F44" w:rsidP="00F55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D34A9">
        <w:rPr>
          <w:b/>
          <w:bCs/>
          <w:sz w:val="24"/>
          <w:szCs w:val="24"/>
        </w:rPr>
        <w:t xml:space="preserve">     </w:t>
      </w:r>
      <w:r w:rsidR="000155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Инвестиционный профиль</w:t>
      </w:r>
      <w:r>
        <w:rPr>
          <w:b/>
          <w:bCs/>
          <w:sz w:val="24"/>
          <w:szCs w:val="24"/>
        </w:rPr>
        <w:t xml:space="preserve">: </w:t>
      </w:r>
      <w:r w:rsidR="00E45E0B">
        <w:rPr>
          <w:b/>
          <w:bCs/>
          <w:sz w:val="24"/>
          <w:szCs w:val="24"/>
        </w:rPr>
        <w:t>Стратегия</w:t>
      </w:r>
      <w:r>
        <w:rPr>
          <w:b/>
          <w:bCs/>
          <w:sz w:val="24"/>
          <w:szCs w:val="24"/>
        </w:rPr>
        <w:t xml:space="preserve"> «</w:t>
      </w:r>
      <w:r w:rsidR="00F55852">
        <w:rPr>
          <w:b/>
          <w:bCs/>
          <w:sz w:val="24"/>
          <w:szCs w:val="24"/>
        </w:rPr>
        <w:t>Сбалансированная</w:t>
      </w:r>
      <w:r>
        <w:rPr>
          <w:b/>
          <w:bCs/>
          <w:sz w:val="24"/>
          <w:szCs w:val="24"/>
        </w:rPr>
        <w:t>»</w:t>
      </w:r>
      <w:r w:rsidR="00F55852">
        <w:rPr>
          <w:b/>
          <w:bCs/>
          <w:sz w:val="24"/>
          <w:szCs w:val="24"/>
        </w:rPr>
        <w:t xml:space="preserve"> 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Основные особенности: средний уровень доходности от любых движений рынка как вниз, так и вверх, относительно высокие риски, равновесное распределение имущества клиента между акциями и облигациями.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Описание рисков, связанных со стратегий управления «Сбалансированная» содержатся в Декларация о рисках, размещенных на сайте Управляющего, в разделе Продукты и услуги/Доверительное управление и в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от 10 % до 15 % годовых.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20 %.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Информация о вознаграждении Управляющего предоставлена в Договоре доверительного управления, Ст. 9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Доходность стратегии не предусматривает зависимость от изменения индексов или иных целевых показателей.</w:t>
      </w:r>
    </w:p>
    <w:p w:rsidR="000155B3" w:rsidRPr="007C3F44" w:rsidRDefault="000155B3" w:rsidP="000155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 xml:space="preserve">Предполагаемый возраст физического лица, которому может предлагаться данная стратегия (только для физических лиц) - </w:t>
      </w:r>
      <w:r w:rsidR="002852BB">
        <w:rPr>
          <w:rFonts w:eastAsia="Times New Roman"/>
          <w:sz w:val="24"/>
          <w:szCs w:val="24"/>
          <w:lang w:eastAsia="ru-RU"/>
        </w:rPr>
        <w:t xml:space="preserve"> </w:t>
      </w:r>
      <w:r w:rsidRPr="007C3F44">
        <w:rPr>
          <w:rFonts w:eastAsia="Times New Roman"/>
          <w:sz w:val="24"/>
          <w:szCs w:val="24"/>
          <w:lang w:eastAsia="ru-RU"/>
        </w:rPr>
        <w:t>от 25 до 55 лет, старше 55 лет.</w:t>
      </w:r>
    </w:p>
    <w:p w:rsidR="000155B3" w:rsidRPr="007C3F44" w:rsidRDefault="000155B3" w:rsidP="000155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>Примерные среднемесячные доходы и примерные среднемесячные расходы за последние 12 месяцев физического лица, которому может предлагаться данная стандартная стратегия управления (только для физических лиц) - среднемесячные доходы могут как превышать, так и не превышать среднемесячные расходы.</w:t>
      </w:r>
    </w:p>
    <w:p w:rsidR="00F55852" w:rsidRDefault="00F55852" w:rsidP="00F55852">
      <w:pPr>
        <w:rPr>
          <w:b/>
          <w:bCs/>
          <w:sz w:val="24"/>
          <w:szCs w:val="24"/>
        </w:rPr>
      </w:pPr>
    </w:p>
    <w:p w:rsidR="00812919" w:rsidRDefault="00812919" w:rsidP="00F55852">
      <w:pPr>
        <w:rPr>
          <w:b/>
          <w:bCs/>
          <w:sz w:val="24"/>
          <w:szCs w:val="24"/>
        </w:rPr>
      </w:pPr>
    </w:p>
    <w:p w:rsidR="00F55852" w:rsidRDefault="00D92355" w:rsidP="00F55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Инвестиционный профиль: Стратегия «Ликвидные инструменты»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Основные особенности: доходность выше среднего от любых движений рынка вниз, так и вверх, относительно высокие риски, большое значение придается уровню ликвидности инвестиционного портфеля.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Описание рисков, связанных со стратегий управления «Консервативная» содержатся в Декларация о рисках, размещенных на сайте Управляющего, в разделе Продукты и услуги/Доверительное управление и в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от 15 % до 20 % годовых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25 %.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вознаграждении Управляющего предоставлена в Договоре доверительного управления, Ст. 9.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Доходность стратегии не предусматривает зависимость от изменения индексов или иных целевых показателей.</w:t>
      </w:r>
    </w:p>
    <w:p w:rsidR="00D92355" w:rsidRPr="007C3F44" w:rsidRDefault="00D92355" w:rsidP="00D923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 xml:space="preserve">Предполагаемый возраст физического лица, которому может предлагаться данная стратегия (только для физических лиц) -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C3F44">
        <w:rPr>
          <w:rFonts w:eastAsia="Times New Roman"/>
          <w:sz w:val="24"/>
          <w:szCs w:val="24"/>
          <w:lang w:eastAsia="ru-RU"/>
        </w:rPr>
        <w:t>от 25 до 55 лет, старше 55 лет.</w:t>
      </w:r>
    </w:p>
    <w:p w:rsidR="00D92355" w:rsidRPr="007C3F44" w:rsidRDefault="00D92355" w:rsidP="00D923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 xml:space="preserve">Примерные среднемесячные доходы и примерные среднемесячные расходы за последние 12 месяцев физического лица, которому может предлагаться данная стандартная стратегия управления (только для физических лиц) - среднемесячные доходы </w:t>
      </w:r>
      <w:r w:rsidR="00A4732E">
        <w:rPr>
          <w:rFonts w:eastAsia="Times New Roman"/>
          <w:sz w:val="24"/>
          <w:szCs w:val="24"/>
          <w:lang w:eastAsia="ru-RU"/>
        </w:rPr>
        <w:t>превышают</w:t>
      </w:r>
      <w:r w:rsidRPr="007C3F44">
        <w:rPr>
          <w:rFonts w:eastAsia="Times New Roman"/>
          <w:sz w:val="24"/>
          <w:szCs w:val="24"/>
          <w:lang w:eastAsia="ru-RU"/>
        </w:rPr>
        <w:t xml:space="preserve"> среднемесячные расходы.</w:t>
      </w:r>
    </w:p>
    <w:p w:rsidR="00D92355" w:rsidRDefault="00D92355" w:rsidP="00D92355">
      <w:pPr>
        <w:spacing w:before="100" w:beforeAutospacing="1" w:after="100" w:afterAutospacing="1"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F55852" w:rsidRDefault="004E731E" w:rsidP="00F55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Инвестиционный профиль: </w:t>
      </w:r>
      <w:r>
        <w:rPr>
          <w:b/>
          <w:bCs/>
          <w:sz w:val="24"/>
          <w:szCs w:val="24"/>
        </w:rPr>
        <w:t>Стратегия «</w:t>
      </w:r>
      <w:r w:rsidR="00F55852">
        <w:rPr>
          <w:b/>
          <w:bCs/>
          <w:sz w:val="24"/>
          <w:szCs w:val="24"/>
        </w:rPr>
        <w:t>Акции роста</w:t>
      </w:r>
      <w:r>
        <w:rPr>
          <w:b/>
          <w:bCs/>
          <w:sz w:val="24"/>
          <w:szCs w:val="24"/>
        </w:rPr>
        <w:t>»</w:t>
      </w:r>
      <w:r w:rsidR="00F55852">
        <w:rPr>
          <w:b/>
          <w:bCs/>
          <w:sz w:val="24"/>
          <w:szCs w:val="24"/>
        </w:rPr>
        <w:t xml:space="preserve"> 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Основные особенности: высокая доходность от инвестиций в акции фундаментально недооценённых эмитентов, высокий риск, присущий данным инвестициям, уровень ликвидности не имеет большого значения.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Описание рисков, связанных со стратегий управления «Акции роста» содержатся в Декларация о рисках, размещенных на сайте Управляющего, в разделе Продукты и услуги/Доверительное управление и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20 % годовых и более.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40 %.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вознаграждении Управляющего предоставлена в Договоре доверительного управления, Ст. 9.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Доходность стратегии не предусматривает зависимость от изменения индексов или иных целевых показателей.</w:t>
      </w:r>
    </w:p>
    <w:p w:rsidR="004E731E" w:rsidRPr="007C3F44" w:rsidRDefault="004E731E" w:rsidP="004E73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 xml:space="preserve">Предполагаемый возраст физического лица, которому может предлагаться данная стратегия (только для физических лиц) -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C3F44">
        <w:rPr>
          <w:rFonts w:eastAsia="Times New Roman"/>
          <w:sz w:val="24"/>
          <w:szCs w:val="24"/>
          <w:lang w:eastAsia="ru-RU"/>
        </w:rPr>
        <w:t>от 25 до 55 лет, старше 55 лет.</w:t>
      </w:r>
    </w:p>
    <w:p w:rsidR="004E731E" w:rsidRPr="007C3F44" w:rsidRDefault="004E731E" w:rsidP="004E73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7C3F44">
        <w:rPr>
          <w:rFonts w:eastAsia="Times New Roman"/>
          <w:sz w:val="24"/>
          <w:szCs w:val="24"/>
          <w:lang w:eastAsia="ru-RU"/>
        </w:rPr>
        <w:t xml:space="preserve">Примерные среднемесячные доходы и примерные среднемесячные расходы за последние 12 месяцев физического лица, которому может предлагаться данная стандартная стратегия управления (только для физических лиц) - среднемесячные доходы </w:t>
      </w:r>
      <w:r w:rsidR="00AB0B9B">
        <w:rPr>
          <w:rFonts w:eastAsia="Times New Roman"/>
          <w:sz w:val="24"/>
          <w:szCs w:val="24"/>
          <w:lang w:eastAsia="ru-RU"/>
        </w:rPr>
        <w:t>значительно (по мнению учредителя управления) превышают</w:t>
      </w:r>
      <w:r w:rsidR="00796FED">
        <w:rPr>
          <w:rFonts w:eastAsia="Times New Roman"/>
          <w:sz w:val="24"/>
          <w:szCs w:val="24"/>
          <w:lang w:eastAsia="ru-RU"/>
        </w:rPr>
        <w:t xml:space="preserve"> </w:t>
      </w:r>
      <w:r w:rsidR="00796FED" w:rsidRPr="007C3F44">
        <w:rPr>
          <w:rFonts w:eastAsia="Times New Roman"/>
          <w:sz w:val="24"/>
          <w:szCs w:val="24"/>
          <w:lang w:eastAsia="ru-RU"/>
        </w:rPr>
        <w:t>среднемесячные</w:t>
      </w:r>
      <w:r w:rsidRPr="007C3F44">
        <w:rPr>
          <w:rFonts w:eastAsia="Times New Roman"/>
          <w:sz w:val="24"/>
          <w:szCs w:val="24"/>
          <w:lang w:eastAsia="ru-RU"/>
        </w:rPr>
        <w:t xml:space="preserve"> расходы.</w:t>
      </w:r>
    </w:p>
    <w:p w:rsidR="00492C3B" w:rsidRDefault="00492C3B">
      <w:bookmarkStart w:id="0" w:name="_GoBack"/>
      <w:bookmarkEnd w:id="0"/>
    </w:p>
    <w:sectPr w:rsidR="00492C3B" w:rsidSect="0016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75D87"/>
    <w:multiLevelType w:val="multilevel"/>
    <w:tmpl w:val="8462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C"/>
    <w:rsid w:val="000155B3"/>
    <w:rsid w:val="00017F70"/>
    <w:rsid w:val="0009550B"/>
    <w:rsid w:val="00163899"/>
    <w:rsid w:val="00267DDD"/>
    <w:rsid w:val="002852BB"/>
    <w:rsid w:val="002A4BB0"/>
    <w:rsid w:val="003502C5"/>
    <w:rsid w:val="003937F1"/>
    <w:rsid w:val="003D650E"/>
    <w:rsid w:val="0044718A"/>
    <w:rsid w:val="00492C3B"/>
    <w:rsid w:val="004E731E"/>
    <w:rsid w:val="00557271"/>
    <w:rsid w:val="00640D1C"/>
    <w:rsid w:val="00710AC1"/>
    <w:rsid w:val="007605B5"/>
    <w:rsid w:val="00796FED"/>
    <w:rsid w:val="007C3F44"/>
    <w:rsid w:val="00812919"/>
    <w:rsid w:val="008F1EFB"/>
    <w:rsid w:val="00904FDB"/>
    <w:rsid w:val="00996C48"/>
    <w:rsid w:val="009F056F"/>
    <w:rsid w:val="00A4732E"/>
    <w:rsid w:val="00AB0B9B"/>
    <w:rsid w:val="00AD34A9"/>
    <w:rsid w:val="00B32D5C"/>
    <w:rsid w:val="00B46833"/>
    <w:rsid w:val="00D92355"/>
    <w:rsid w:val="00DE35C0"/>
    <w:rsid w:val="00E3211B"/>
    <w:rsid w:val="00E40393"/>
    <w:rsid w:val="00E45E0B"/>
    <w:rsid w:val="00EF774C"/>
    <w:rsid w:val="00F55852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712C22-B000-4554-84BA-D1A7B2E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2020-07-30T02:02:00Z</dcterms:created>
  <dcterms:modified xsi:type="dcterms:W3CDTF">2020-09-20T01:14:00Z</dcterms:modified>
</cp:coreProperties>
</file>