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26" w:rsidRPr="008D3726" w:rsidRDefault="008D3726" w:rsidP="001E28C7">
      <w:pPr>
        <w:spacing w:after="0" w:line="240" w:lineRule="auto"/>
        <w:ind w:left="5818" w:right="-288"/>
        <w:jc w:val="both"/>
        <w:rPr>
          <w:rFonts w:ascii="Times New Roman" w:eastAsia="Times New Roman" w:hAnsi="Times New Roman" w:cs="Times New Roman"/>
          <w:b/>
          <w:sz w:val="20"/>
          <w:szCs w:val="20"/>
          <w:lang w:eastAsia="ru-RU"/>
        </w:rPr>
      </w:pPr>
      <w:r w:rsidRPr="008D3726">
        <w:rPr>
          <w:rFonts w:ascii="Times New Roman" w:eastAsia="Times New Roman" w:hAnsi="Times New Roman" w:cs="Times New Roman"/>
          <w:b/>
          <w:sz w:val="20"/>
          <w:szCs w:val="20"/>
          <w:lang w:eastAsia="ru-RU"/>
        </w:rPr>
        <w:t>УТВЕРЖДЕНО</w:t>
      </w:r>
    </w:p>
    <w:p w:rsidR="008D3726" w:rsidRPr="008D3726" w:rsidRDefault="008D3726" w:rsidP="001E28C7">
      <w:pPr>
        <w:spacing w:after="0" w:line="240" w:lineRule="auto"/>
        <w:ind w:left="5818" w:right="-288"/>
        <w:jc w:val="both"/>
        <w:rPr>
          <w:rFonts w:ascii="Times New Roman" w:eastAsia="Times New Roman" w:hAnsi="Times New Roman" w:cs="Times New Roman"/>
          <w:b/>
          <w:sz w:val="20"/>
          <w:szCs w:val="20"/>
          <w:lang w:eastAsia="ru-RU"/>
        </w:rPr>
      </w:pPr>
      <w:r w:rsidRPr="008D3726">
        <w:rPr>
          <w:rFonts w:ascii="Times New Roman" w:eastAsia="Times New Roman" w:hAnsi="Times New Roman" w:cs="Times New Roman"/>
          <w:b/>
          <w:sz w:val="20"/>
          <w:szCs w:val="20"/>
          <w:lang w:eastAsia="ru-RU"/>
        </w:rPr>
        <w:t xml:space="preserve">Протокол заседания Совета директоров </w:t>
      </w:r>
    </w:p>
    <w:p w:rsidR="008D3726" w:rsidRPr="008D3726" w:rsidRDefault="008D3726" w:rsidP="001E28C7">
      <w:pPr>
        <w:spacing w:after="0" w:line="240" w:lineRule="auto"/>
        <w:ind w:left="5818" w:right="-288"/>
        <w:jc w:val="both"/>
        <w:rPr>
          <w:rFonts w:ascii="Times New Roman" w:eastAsia="Times New Roman" w:hAnsi="Times New Roman" w:cs="Times New Roman"/>
          <w:b/>
          <w:sz w:val="20"/>
          <w:szCs w:val="20"/>
          <w:lang w:eastAsia="ru-RU"/>
        </w:rPr>
      </w:pPr>
      <w:r w:rsidRPr="008D3726">
        <w:rPr>
          <w:rFonts w:ascii="Times New Roman" w:eastAsia="Times New Roman" w:hAnsi="Times New Roman" w:cs="Times New Roman"/>
          <w:b/>
          <w:sz w:val="20"/>
          <w:szCs w:val="20"/>
          <w:lang w:eastAsia="ru-RU"/>
        </w:rPr>
        <w:t>ООО «Московские партнеры»</w:t>
      </w:r>
    </w:p>
    <w:p w:rsidR="008D3726" w:rsidRPr="008D3726" w:rsidRDefault="001606B1" w:rsidP="001E28C7">
      <w:pPr>
        <w:spacing w:after="0" w:line="240" w:lineRule="auto"/>
        <w:ind w:left="5818" w:right="-28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04/04 от 04 апреля</w:t>
      </w:r>
      <w:r w:rsidR="008D3726" w:rsidRPr="008D3726">
        <w:rPr>
          <w:rFonts w:ascii="Times New Roman" w:eastAsia="Times New Roman" w:hAnsi="Times New Roman" w:cs="Times New Roman"/>
          <w:b/>
          <w:sz w:val="20"/>
          <w:szCs w:val="20"/>
          <w:lang w:eastAsia="ru-RU"/>
        </w:rPr>
        <w:t xml:space="preserve"> 2017г</w:t>
      </w:r>
    </w:p>
    <w:p w:rsidR="008D3726" w:rsidRPr="008D3726" w:rsidRDefault="008D3726" w:rsidP="001E28C7">
      <w:pPr>
        <w:spacing w:after="0" w:line="240" w:lineRule="auto"/>
        <w:ind w:left="5818" w:right="-288"/>
        <w:jc w:val="both"/>
        <w:rPr>
          <w:rFonts w:ascii="Times New Roman" w:eastAsia="Times New Roman" w:hAnsi="Times New Roman" w:cs="Times New Roman"/>
          <w:b/>
          <w:sz w:val="20"/>
          <w:szCs w:val="20"/>
          <w:lang w:eastAsia="ru-RU"/>
        </w:rPr>
      </w:pPr>
      <w:r w:rsidRPr="008D3726">
        <w:rPr>
          <w:rFonts w:ascii="Times New Roman" w:eastAsia="Times New Roman" w:hAnsi="Times New Roman" w:cs="Times New Roman"/>
          <w:b/>
          <w:sz w:val="20"/>
          <w:szCs w:val="20"/>
          <w:lang w:eastAsia="ru-RU"/>
        </w:rPr>
        <w:t>Председатель Совета директоров ______________ Коган Е.Б.</w:t>
      </w:r>
    </w:p>
    <w:p w:rsidR="008D3726" w:rsidRPr="008D3726" w:rsidRDefault="008D3726" w:rsidP="001E28C7">
      <w:pPr>
        <w:spacing w:after="0" w:line="240" w:lineRule="auto"/>
        <w:ind w:left="5818" w:right="-288"/>
        <w:jc w:val="both"/>
        <w:rPr>
          <w:rFonts w:ascii="Times New Roman" w:eastAsia="Times New Roman" w:hAnsi="Times New Roman" w:cs="Times New Roman"/>
          <w:b/>
          <w:sz w:val="20"/>
          <w:szCs w:val="20"/>
          <w:lang w:eastAsia="ru-RU"/>
        </w:rPr>
      </w:pPr>
    </w:p>
    <w:p w:rsidR="00D014DF" w:rsidRDefault="00855DF5" w:rsidP="001E28C7">
      <w:pPr>
        <w:spacing w:after="0" w:line="240" w:lineRule="auto"/>
        <w:ind w:left="5818" w:right="-288"/>
        <w:jc w:val="both"/>
        <w:rPr>
          <w:rFonts w:ascii="Times New Roman" w:eastAsia="Times New Roman" w:hAnsi="Times New Roman" w:cs="Times New Roman"/>
          <w:b/>
          <w:i/>
          <w:sz w:val="20"/>
          <w:szCs w:val="20"/>
          <w:lang w:eastAsia="ru-RU"/>
        </w:rPr>
      </w:pPr>
      <w:r w:rsidRPr="008D3726">
        <w:rPr>
          <w:rFonts w:ascii="Times New Roman" w:eastAsia="Times New Roman" w:hAnsi="Times New Roman" w:cs="Times New Roman"/>
          <w:b/>
          <w:i/>
          <w:sz w:val="20"/>
          <w:szCs w:val="20"/>
          <w:lang w:eastAsia="ru-RU"/>
        </w:rPr>
        <w:t>Приложение № --</w:t>
      </w:r>
      <w:r w:rsidR="00D014DF" w:rsidRPr="008D3726">
        <w:rPr>
          <w:rFonts w:ascii="Times New Roman" w:eastAsia="Times New Roman" w:hAnsi="Times New Roman" w:cs="Times New Roman"/>
          <w:b/>
          <w:i/>
          <w:sz w:val="20"/>
          <w:szCs w:val="20"/>
          <w:lang w:eastAsia="ru-RU"/>
        </w:rPr>
        <w:t xml:space="preserve"> к Договору </w:t>
      </w:r>
      <w:r w:rsidR="001606B1">
        <w:rPr>
          <w:rFonts w:ascii="Times New Roman" w:eastAsia="Times New Roman" w:hAnsi="Times New Roman" w:cs="Times New Roman"/>
          <w:b/>
          <w:i/>
          <w:sz w:val="20"/>
          <w:szCs w:val="20"/>
          <w:lang w:eastAsia="ru-RU"/>
        </w:rPr>
        <w:t>доверительного управления</w:t>
      </w:r>
      <w:r w:rsidR="00D014DF" w:rsidRPr="008D3726">
        <w:rPr>
          <w:rFonts w:ascii="Times New Roman" w:eastAsia="Times New Roman" w:hAnsi="Times New Roman" w:cs="Times New Roman"/>
          <w:b/>
          <w:i/>
          <w:sz w:val="20"/>
          <w:szCs w:val="20"/>
          <w:lang w:eastAsia="ru-RU"/>
        </w:rPr>
        <w:t xml:space="preserve"> № ___ от «___» __________ 20___г.</w:t>
      </w:r>
    </w:p>
    <w:p w:rsidR="001E28C7" w:rsidRPr="008D3726" w:rsidRDefault="001E28C7" w:rsidP="001E28C7">
      <w:pPr>
        <w:spacing w:after="0" w:line="240" w:lineRule="auto"/>
        <w:ind w:left="5818" w:right="-288"/>
        <w:jc w:val="both"/>
        <w:rPr>
          <w:rFonts w:ascii="Times New Roman" w:eastAsia="Times New Roman" w:hAnsi="Times New Roman" w:cs="Times New Roman"/>
          <w:b/>
          <w:i/>
          <w:sz w:val="20"/>
          <w:szCs w:val="20"/>
          <w:lang w:eastAsia="ru-RU"/>
        </w:rPr>
      </w:pPr>
    </w:p>
    <w:p w:rsidR="004655B9" w:rsidRPr="008D3726" w:rsidRDefault="004655B9" w:rsidP="001606B1">
      <w:pPr>
        <w:spacing w:after="0" w:line="240" w:lineRule="auto"/>
        <w:jc w:val="center"/>
        <w:rPr>
          <w:rFonts w:ascii="Times New Roman" w:hAnsi="Times New Roman" w:cs="Times New Roman"/>
          <w:b/>
          <w:sz w:val="20"/>
          <w:szCs w:val="20"/>
        </w:rPr>
      </w:pPr>
      <w:r w:rsidRPr="008D3726">
        <w:rPr>
          <w:rFonts w:ascii="Times New Roman" w:hAnsi="Times New Roman" w:cs="Times New Roman"/>
          <w:b/>
          <w:sz w:val="20"/>
          <w:szCs w:val="20"/>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8D3726" w:rsidRPr="008D3726" w:rsidRDefault="008D3726" w:rsidP="001606B1">
      <w:pPr>
        <w:spacing w:after="0" w:line="240" w:lineRule="auto"/>
        <w:jc w:val="center"/>
        <w:rPr>
          <w:rFonts w:ascii="Times New Roman" w:hAnsi="Times New Roman" w:cs="Times New Roman"/>
          <w:b/>
          <w:sz w:val="20"/>
          <w:szCs w:val="20"/>
        </w:rPr>
      </w:pPr>
      <w:r w:rsidRPr="008D3726">
        <w:rPr>
          <w:rFonts w:ascii="Times New Roman" w:hAnsi="Times New Roman" w:cs="Times New Roman"/>
          <w:b/>
          <w:sz w:val="20"/>
          <w:szCs w:val="20"/>
        </w:rPr>
        <w:t>(доверительное управление)</w:t>
      </w:r>
    </w:p>
    <w:p w:rsidR="008D3726" w:rsidRPr="008D3726" w:rsidRDefault="008D3726" w:rsidP="008D3726">
      <w:pPr>
        <w:spacing w:after="0" w:line="240" w:lineRule="auto"/>
        <w:jc w:val="center"/>
        <w:rPr>
          <w:rFonts w:ascii="Times New Roman" w:hAnsi="Times New Roman" w:cs="Times New Roman"/>
          <w:b/>
          <w:sz w:val="20"/>
          <w:szCs w:val="20"/>
        </w:rPr>
      </w:pPr>
    </w:p>
    <w:p w:rsidR="004655B9" w:rsidRPr="008D3726" w:rsidRDefault="004655B9" w:rsidP="004655B9">
      <w:pPr>
        <w:spacing w:after="100" w:afterAutospacing="1"/>
        <w:ind w:firstLine="250"/>
        <w:jc w:val="both"/>
        <w:rPr>
          <w:rFonts w:ascii="Times New Roman" w:hAnsi="Times New Roman" w:cs="Times New Roman"/>
          <w:sz w:val="20"/>
          <w:szCs w:val="20"/>
        </w:rPr>
      </w:pPr>
      <w:r w:rsidRPr="008D3726">
        <w:rPr>
          <w:rFonts w:ascii="Times New Roman" w:hAnsi="Times New Roman" w:cs="Times New Roman"/>
          <w:sz w:val="20"/>
          <w:szCs w:val="20"/>
        </w:rPr>
        <w:t xml:space="preserve">Цель настоящей Декларации - предоставить Вам общую информацию об </w:t>
      </w:r>
      <w:r w:rsidR="00EA130E" w:rsidRPr="008D3726">
        <w:rPr>
          <w:rFonts w:ascii="Times New Roman" w:hAnsi="Times New Roman" w:cs="Times New Roman"/>
          <w:sz w:val="20"/>
          <w:szCs w:val="20"/>
        </w:rPr>
        <w:t>основных рисках</w:t>
      </w:r>
      <w:r w:rsidRPr="008D3726">
        <w:rPr>
          <w:rFonts w:ascii="Times New Roman" w:hAnsi="Times New Roman" w:cs="Times New Roman"/>
          <w:sz w:val="20"/>
          <w:szCs w:val="20"/>
        </w:rPr>
        <w:t>,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4655B9" w:rsidRPr="008D3726" w:rsidRDefault="004655B9" w:rsidP="00EA130E">
      <w:pPr>
        <w:spacing w:after="0"/>
        <w:jc w:val="both"/>
        <w:rPr>
          <w:rFonts w:ascii="Times New Roman" w:hAnsi="Times New Roman" w:cs="Times New Roman"/>
          <w:b/>
          <w:sz w:val="20"/>
          <w:szCs w:val="20"/>
        </w:rPr>
      </w:pPr>
      <w:r w:rsidRPr="008D3726">
        <w:rPr>
          <w:rFonts w:ascii="Times New Roman" w:hAnsi="Times New Roman" w:cs="Times New Roman"/>
          <w:b/>
          <w:sz w:val="20"/>
          <w:szCs w:val="20"/>
        </w:rPr>
        <w:t>Риски, связанные производными финансовыми инструментами</w:t>
      </w:r>
    </w:p>
    <w:p w:rsidR="004655B9" w:rsidRPr="008D3726" w:rsidRDefault="004655B9" w:rsidP="00EA130E">
      <w:pPr>
        <w:spacing w:after="0"/>
        <w:ind w:firstLine="250"/>
        <w:jc w:val="both"/>
        <w:rPr>
          <w:rFonts w:ascii="Times New Roman" w:hAnsi="Times New Roman" w:cs="Times New Roman"/>
          <w:sz w:val="20"/>
          <w:szCs w:val="20"/>
        </w:rPr>
      </w:pPr>
      <w:r w:rsidRPr="008D3726">
        <w:rPr>
          <w:rFonts w:ascii="Times New Roman" w:hAnsi="Times New Roman" w:cs="Times New Roman"/>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Рыночный (ценовой) риск</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 xml:space="preserve">Риск ликвидности </w:t>
      </w:r>
    </w:p>
    <w:p w:rsidR="00EA130E" w:rsidRDefault="004655B9" w:rsidP="00EA130E">
      <w:pPr>
        <w:spacing w:after="0"/>
        <w:ind w:firstLine="250"/>
        <w:jc w:val="both"/>
        <w:rPr>
          <w:rFonts w:ascii="Times New Roman" w:hAnsi="Times New Roman" w:cs="Times New Roman"/>
          <w:sz w:val="20"/>
          <w:szCs w:val="20"/>
        </w:rPr>
      </w:pPr>
      <w:r w:rsidRPr="008D3726">
        <w:rPr>
          <w:rFonts w:ascii="Times New Roman" w:hAnsi="Times New Roman" w:cs="Times New Roman"/>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4655B9" w:rsidRPr="008D3726" w:rsidRDefault="004655B9" w:rsidP="00EA130E">
      <w:pPr>
        <w:spacing w:after="0"/>
        <w:ind w:firstLine="250"/>
        <w:jc w:val="both"/>
        <w:rPr>
          <w:rFonts w:ascii="Times New Roman" w:hAnsi="Times New Roman" w:cs="Times New Roman"/>
          <w:sz w:val="20"/>
          <w:szCs w:val="20"/>
        </w:rPr>
      </w:pPr>
      <w:r w:rsidRPr="008D3726">
        <w:rPr>
          <w:rFonts w:ascii="Times New Roman" w:hAnsi="Times New Roman" w:cs="Times New Roman"/>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lastRenderedPageBreak/>
        <w:t xml:space="preserve">При этом трудности с закрытием </w:t>
      </w:r>
      <w:r w:rsidR="00EA130E" w:rsidRPr="008D3726">
        <w:rPr>
          <w:rFonts w:ascii="Times New Roman" w:hAnsi="Times New Roman" w:cs="Times New Roman"/>
          <w:sz w:val="20"/>
          <w:szCs w:val="20"/>
        </w:rPr>
        <w:t>позиций и</w:t>
      </w:r>
      <w:r w:rsidRPr="008D3726">
        <w:rPr>
          <w:rFonts w:ascii="Times New Roman" w:hAnsi="Times New Roman" w:cs="Times New Roman"/>
          <w:sz w:val="20"/>
          <w:szCs w:val="20"/>
        </w:rPr>
        <w:t xml:space="preserve"> потери в цене могут привести к увеличению убытков по сравнению с обычными сделками. </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 xml:space="preserve">Ограничение распоряжения средствами, являющимися обеспечением  </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Риск принудительного закрытия позиции</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w:t>
      </w:r>
      <w:r w:rsidR="00ED7F33" w:rsidRPr="008D3726">
        <w:rPr>
          <w:rFonts w:ascii="Times New Roman" w:hAnsi="Times New Roman" w:cs="Times New Roman"/>
          <w:sz w:val="20"/>
          <w:szCs w:val="20"/>
        </w:rPr>
        <w:t>направление,</w:t>
      </w:r>
      <w:r w:rsidRPr="008D3726">
        <w:rPr>
          <w:rFonts w:ascii="Times New Roman" w:hAnsi="Times New Roman" w:cs="Times New Roman"/>
          <w:sz w:val="20"/>
          <w:szCs w:val="20"/>
        </w:rPr>
        <w:t xml:space="preserve"> и Вы получили бы доход, если бы Ваша позиция не была закрыта. </w:t>
      </w:r>
    </w:p>
    <w:p w:rsidR="004655B9" w:rsidRPr="008D3726" w:rsidRDefault="004655B9" w:rsidP="004655B9">
      <w:pPr>
        <w:ind w:firstLine="250"/>
        <w:jc w:val="both"/>
        <w:rPr>
          <w:rFonts w:ascii="Times New Roman" w:hAnsi="Times New Roman" w:cs="Times New Roman"/>
          <w:b/>
          <w:sz w:val="20"/>
          <w:szCs w:val="20"/>
        </w:rPr>
      </w:pPr>
      <w:r w:rsidRPr="008D3726">
        <w:rPr>
          <w:rFonts w:ascii="Times New Roman" w:hAnsi="Times New Roman" w:cs="Times New Roman"/>
          <w:b/>
          <w:sz w:val="20"/>
          <w:szCs w:val="20"/>
        </w:rPr>
        <w:t>Риски, обусловленные иностранным происхождением базисного актива</w:t>
      </w:r>
    </w:p>
    <w:p w:rsidR="004655B9" w:rsidRPr="008D3726" w:rsidRDefault="004655B9" w:rsidP="004655B9">
      <w:pPr>
        <w:spacing w:after="100" w:afterAutospacing="1"/>
        <w:ind w:firstLine="250"/>
        <w:jc w:val="both"/>
        <w:rPr>
          <w:rFonts w:ascii="Times New Roman" w:hAnsi="Times New Roman" w:cs="Times New Roman"/>
          <w:sz w:val="20"/>
          <w:szCs w:val="20"/>
        </w:rPr>
      </w:pPr>
      <w:r w:rsidRPr="008D3726">
        <w:rPr>
          <w:rFonts w:ascii="Times New Roman" w:hAnsi="Times New Roman" w:cs="Times New Roman"/>
          <w:sz w:val="20"/>
          <w:szCs w:val="20"/>
        </w:rPr>
        <w:t>Системные риски</w:t>
      </w:r>
    </w:p>
    <w:p w:rsidR="004655B9" w:rsidRPr="008D3726" w:rsidRDefault="004655B9" w:rsidP="004655B9">
      <w:pPr>
        <w:spacing w:after="100" w:afterAutospacing="1"/>
        <w:ind w:firstLine="250"/>
        <w:jc w:val="both"/>
        <w:rPr>
          <w:rFonts w:ascii="Times New Roman" w:hAnsi="Times New Roman" w:cs="Times New Roman"/>
          <w:sz w:val="20"/>
          <w:szCs w:val="20"/>
        </w:rPr>
      </w:pPr>
      <w:r w:rsidRPr="008D3726">
        <w:rPr>
          <w:rFonts w:ascii="Times New Roman" w:hAnsi="Times New Roman" w:cs="Times New Roman"/>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Правовые риски</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w:t>
      </w:r>
      <w:r w:rsidRPr="008D3726">
        <w:rPr>
          <w:rFonts w:ascii="Times New Roman" w:hAnsi="Times New Roman" w:cs="Times New Roman"/>
          <w:sz w:val="20"/>
          <w:szCs w:val="20"/>
        </w:rPr>
        <w:lastRenderedPageBreak/>
        <w:t>случае, предоставляемые по ним права и правила их осуществления могут существенно отличаться от прав по российским финансовым инструментам.</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Раскрытие информации</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4655B9" w:rsidRPr="008D3726" w:rsidRDefault="004655B9" w:rsidP="004655B9">
      <w:pPr>
        <w:ind w:firstLine="250"/>
        <w:jc w:val="both"/>
        <w:rPr>
          <w:rFonts w:ascii="Times New Roman" w:hAnsi="Times New Roman" w:cs="Times New Roman"/>
          <w:sz w:val="20"/>
          <w:szCs w:val="20"/>
        </w:rPr>
      </w:pPr>
      <w:r w:rsidRPr="008D3726">
        <w:rPr>
          <w:rFonts w:ascii="Times New Roman" w:hAnsi="Times New Roman" w:cs="Times New Roman"/>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w:t>
      </w:r>
      <w:r w:rsidR="00EA130E" w:rsidRPr="008D3726">
        <w:rPr>
          <w:rFonts w:ascii="Times New Roman" w:hAnsi="Times New Roman" w:cs="Times New Roman"/>
          <w:sz w:val="20"/>
          <w:szCs w:val="20"/>
        </w:rPr>
        <w:t>числе связанных</w:t>
      </w:r>
      <w:r w:rsidRPr="008D3726">
        <w:rPr>
          <w:rFonts w:ascii="Times New Roman" w:hAnsi="Times New Roman" w:cs="Times New Roman"/>
          <w:sz w:val="20"/>
          <w:szCs w:val="20"/>
        </w:rPr>
        <w:t xml:space="preserve"> с возможным различным переводом одних и </w:t>
      </w:r>
      <w:r w:rsidR="00EA130E" w:rsidRPr="008D3726">
        <w:rPr>
          <w:rFonts w:ascii="Times New Roman" w:hAnsi="Times New Roman" w:cs="Times New Roman"/>
          <w:sz w:val="20"/>
          <w:szCs w:val="20"/>
        </w:rPr>
        <w:t>тех же иностранных слов,</w:t>
      </w:r>
      <w:r w:rsidRPr="008D3726">
        <w:rPr>
          <w:rFonts w:ascii="Times New Roman" w:hAnsi="Times New Roman" w:cs="Times New Roman"/>
          <w:sz w:val="20"/>
          <w:szCs w:val="20"/>
        </w:rPr>
        <w:t xml:space="preserve"> и фраз или отсутствием общепринятого русского эквивалента.</w:t>
      </w:r>
    </w:p>
    <w:p w:rsidR="004655B9" w:rsidRPr="008D3726" w:rsidRDefault="004655B9" w:rsidP="004655B9">
      <w:pPr>
        <w:spacing w:before="240"/>
        <w:ind w:firstLine="250"/>
        <w:jc w:val="center"/>
        <w:rPr>
          <w:rFonts w:ascii="Times New Roman" w:hAnsi="Times New Roman" w:cs="Times New Roman"/>
          <w:sz w:val="20"/>
          <w:szCs w:val="20"/>
        </w:rPr>
      </w:pPr>
      <w:r w:rsidRPr="008D3726">
        <w:rPr>
          <w:rFonts w:ascii="Times New Roman" w:hAnsi="Times New Roman" w:cs="Times New Roman"/>
          <w:sz w:val="20"/>
          <w:szCs w:val="20"/>
        </w:rPr>
        <w:t>***</w:t>
      </w:r>
    </w:p>
    <w:p w:rsidR="005762A6" w:rsidRDefault="004655B9" w:rsidP="004655B9">
      <w:pPr>
        <w:spacing w:after="100" w:afterAutospacing="1" w:line="240" w:lineRule="auto"/>
        <w:jc w:val="both"/>
        <w:rPr>
          <w:rFonts w:ascii="Times New Roman" w:hAnsi="Times New Roman" w:cs="Times New Roman"/>
          <w:sz w:val="20"/>
          <w:szCs w:val="20"/>
        </w:rPr>
      </w:pPr>
      <w:r w:rsidRPr="008D3726">
        <w:rPr>
          <w:rFonts w:ascii="Times New Roman" w:hAnsi="Times New Roman" w:cs="Times New Roman"/>
          <w:sz w:val="20"/>
          <w:szCs w:val="20"/>
        </w:rPr>
        <w:t xml:space="preserve">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w:t>
      </w:r>
      <w:r w:rsidR="00B40FAC" w:rsidRPr="008D3726">
        <w:rPr>
          <w:rFonts w:ascii="Times New Roman" w:hAnsi="Times New Roman" w:cs="Times New Roman"/>
          <w:sz w:val="20"/>
          <w:szCs w:val="20"/>
        </w:rPr>
        <w:t>управляющим</w:t>
      </w:r>
      <w:r w:rsidRPr="008D3726">
        <w:rPr>
          <w:rFonts w:ascii="Times New Roman" w:hAnsi="Times New Roman" w:cs="Times New Roman"/>
          <w:sz w:val="20"/>
          <w:szCs w:val="20"/>
        </w:rPr>
        <w:t>.</w:t>
      </w:r>
    </w:p>
    <w:p w:rsidR="00ED7F33" w:rsidRDefault="00ED7F33" w:rsidP="00A716C0">
      <w:pPr>
        <w:jc w:val="both"/>
        <w:rPr>
          <w:rFonts w:ascii="Times New Roman" w:hAnsi="Times New Roman" w:cs="Times New Roman"/>
          <w:b/>
          <w:bCs/>
          <w:sz w:val="24"/>
          <w:szCs w:val="24"/>
        </w:rPr>
      </w:pPr>
      <w:bookmarkStart w:id="0" w:name="_GoBack"/>
      <w:r>
        <w:rPr>
          <w:rFonts w:ascii="Times New Roman" w:hAnsi="Times New Roman" w:cs="Times New Roman"/>
          <w:b/>
          <w:bCs/>
          <w:sz w:val="24"/>
          <w:szCs w:val="24"/>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tbl>
      <w:tblPr>
        <w:tblW w:w="10598" w:type="dxa"/>
        <w:tblCellMar>
          <w:left w:w="0" w:type="dxa"/>
          <w:right w:w="0" w:type="dxa"/>
        </w:tblCellMar>
        <w:tblLook w:val="04A0" w:firstRow="1" w:lastRow="0" w:firstColumn="1" w:lastColumn="0" w:noHBand="0" w:noVBand="1"/>
      </w:tblPr>
      <w:tblGrid>
        <w:gridCol w:w="10598"/>
      </w:tblGrid>
      <w:tr w:rsidR="00ED7F33" w:rsidTr="00AC3D1C">
        <w:tc>
          <w:tcPr>
            <w:tcW w:w="105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D7F33" w:rsidRDefault="00ED7F33" w:rsidP="00AC3D1C">
            <w:pPr>
              <w:spacing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КЛИЕНТ</w:t>
            </w:r>
          </w:p>
        </w:tc>
      </w:tr>
      <w:tr w:rsidR="00ED7F33" w:rsidTr="00AC3D1C">
        <w:tc>
          <w:tcPr>
            <w:tcW w:w="105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7F33" w:rsidRDefault="00ED7F33">
            <w:pPr>
              <w:spacing w:line="360" w:lineRule="auto"/>
              <w:ind w:firstLine="567"/>
              <w:rPr>
                <w:rFonts w:ascii="Times New Roman" w:hAnsi="Times New Roman" w:cs="Times New Roman"/>
                <w:sz w:val="24"/>
                <w:szCs w:val="24"/>
              </w:rPr>
            </w:pPr>
          </w:p>
        </w:tc>
      </w:tr>
      <w:tr w:rsidR="00ED7F33" w:rsidTr="00AC3D1C">
        <w:trPr>
          <w:trHeight w:val="2421"/>
        </w:trPr>
        <w:tc>
          <w:tcPr>
            <w:tcW w:w="1059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D7F33" w:rsidRPr="00ED7F33" w:rsidRDefault="00ED7F33">
            <w:pPr>
              <w:spacing w:line="360" w:lineRule="auto"/>
              <w:ind w:firstLine="567"/>
              <w:jc w:val="center"/>
              <w:rPr>
                <w:rFonts w:ascii="Times New Roman" w:hAnsi="Times New Roman" w:cs="Times New Roman"/>
                <w:i/>
                <w:sz w:val="18"/>
                <w:szCs w:val="18"/>
              </w:rPr>
            </w:pPr>
            <w:r w:rsidRPr="00ED7F33">
              <w:rPr>
                <w:rFonts w:ascii="Times New Roman" w:hAnsi="Times New Roman" w:cs="Times New Roman"/>
                <w:i/>
                <w:sz w:val="18"/>
                <w:szCs w:val="18"/>
              </w:rPr>
              <w:t>Полное наименование / Ф.И.О полностью</w:t>
            </w:r>
          </w:p>
          <w:p w:rsidR="00ED7F33" w:rsidRDefault="00ED7F33">
            <w:pPr>
              <w:spacing w:line="360" w:lineRule="auto"/>
              <w:ind w:firstLine="567"/>
              <w:jc w:val="center"/>
              <w:rPr>
                <w:rFonts w:ascii="Times New Roman" w:hAnsi="Times New Roman" w:cs="Times New Roman"/>
                <w:sz w:val="24"/>
                <w:szCs w:val="24"/>
              </w:rPr>
            </w:pPr>
          </w:p>
          <w:p w:rsidR="00ED7F33" w:rsidRDefault="00ED7F33" w:rsidP="00ED7F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ED7F33" w:rsidRPr="00ED7F33" w:rsidRDefault="00ED7F33" w:rsidP="00ED7F33">
            <w:pPr>
              <w:spacing w:after="0" w:line="240" w:lineRule="auto"/>
              <w:ind w:firstLine="567"/>
              <w:jc w:val="both"/>
              <w:rPr>
                <w:rFonts w:ascii="Times New Roman" w:hAnsi="Times New Roman" w:cs="Times New Roman"/>
                <w:i/>
                <w:sz w:val="18"/>
                <w:szCs w:val="18"/>
              </w:rPr>
            </w:pPr>
            <w:r w:rsidRPr="00ED7F33">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ED7F33">
              <w:rPr>
                <w:rFonts w:ascii="Times New Roman" w:hAnsi="Times New Roman" w:cs="Times New Roman"/>
                <w:i/>
                <w:sz w:val="18"/>
                <w:szCs w:val="18"/>
              </w:rPr>
              <w:t xml:space="preserve">  (подпись)                         </w:t>
            </w:r>
            <w:r>
              <w:rPr>
                <w:rFonts w:ascii="Times New Roman" w:hAnsi="Times New Roman" w:cs="Times New Roman"/>
                <w:i/>
                <w:sz w:val="18"/>
                <w:szCs w:val="18"/>
              </w:rPr>
              <w:t xml:space="preserve">              </w:t>
            </w:r>
            <w:r w:rsidRPr="00ED7F33">
              <w:rPr>
                <w:rFonts w:ascii="Times New Roman" w:hAnsi="Times New Roman" w:cs="Times New Roman"/>
                <w:i/>
                <w:sz w:val="18"/>
                <w:szCs w:val="18"/>
              </w:rPr>
              <w:t>(Ф.И.О.)</w:t>
            </w:r>
          </w:p>
          <w:p w:rsidR="00ED7F33" w:rsidRPr="00ED7F33" w:rsidRDefault="00ED7F33">
            <w:pPr>
              <w:spacing w:line="360" w:lineRule="auto"/>
              <w:ind w:firstLine="567"/>
              <w:jc w:val="center"/>
              <w:rPr>
                <w:rFonts w:ascii="Times New Roman" w:hAnsi="Times New Roman" w:cs="Times New Roman"/>
                <w:i/>
                <w:sz w:val="18"/>
                <w:szCs w:val="18"/>
              </w:rPr>
            </w:pPr>
          </w:p>
          <w:p w:rsidR="00ED7F33" w:rsidRDefault="00ED7F33">
            <w:pPr>
              <w:spacing w:after="2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Подписано «___» _______________ 201__ г.</w:t>
            </w:r>
          </w:p>
          <w:p w:rsidR="00ED7F33" w:rsidRDefault="00ED7F33">
            <w:pPr>
              <w:spacing w:after="20" w:line="360" w:lineRule="auto"/>
              <w:ind w:firstLine="567"/>
              <w:jc w:val="both"/>
              <w:rPr>
                <w:rFonts w:ascii="Times New Roman" w:hAnsi="Times New Roman" w:cs="Times New Roman"/>
                <w:sz w:val="24"/>
                <w:szCs w:val="24"/>
              </w:rPr>
            </w:pPr>
          </w:p>
        </w:tc>
      </w:tr>
    </w:tbl>
    <w:p w:rsidR="00ED7F33" w:rsidRDefault="00ED7F33" w:rsidP="00ED7F33">
      <w:pPr>
        <w:spacing w:line="360" w:lineRule="auto"/>
        <w:ind w:firstLine="567"/>
        <w:rPr>
          <w:rFonts w:ascii="Times New Roman" w:hAnsi="Times New Roman" w:cs="Times New Roman"/>
          <w:sz w:val="24"/>
          <w:szCs w:val="24"/>
        </w:rPr>
      </w:pPr>
    </w:p>
    <w:bookmarkEnd w:id="0"/>
    <w:p w:rsidR="00ED7F33" w:rsidRPr="008D3726" w:rsidRDefault="00ED7F33" w:rsidP="004655B9">
      <w:pPr>
        <w:spacing w:after="100" w:afterAutospacing="1" w:line="240" w:lineRule="auto"/>
        <w:jc w:val="both"/>
        <w:rPr>
          <w:rFonts w:ascii="Times New Roman" w:hAnsi="Times New Roman" w:cs="Times New Roman"/>
          <w:sz w:val="20"/>
          <w:szCs w:val="20"/>
        </w:rPr>
      </w:pPr>
    </w:p>
    <w:sectPr w:rsidR="00ED7F33" w:rsidRPr="008D3726" w:rsidSect="00EA13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6E" w:rsidRDefault="00DE2A6E" w:rsidP="00D014DF">
      <w:pPr>
        <w:spacing w:after="0" w:line="240" w:lineRule="auto"/>
      </w:pPr>
      <w:r>
        <w:separator/>
      </w:r>
    </w:p>
  </w:endnote>
  <w:endnote w:type="continuationSeparator" w:id="0">
    <w:p w:rsidR="00DE2A6E" w:rsidRDefault="00DE2A6E" w:rsidP="00D0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6E" w:rsidRDefault="00DE2A6E" w:rsidP="00D014DF">
      <w:pPr>
        <w:spacing w:after="0" w:line="240" w:lineRule="auto"/>
      </w:pPr>
      <w:r>
        <w:separator/>
      </w:r>
    </w:p>
  </w:footnote>
  <w:footnote w:type="continuationSeparator" w:id="0">
    <w:p w:rsidR="00DE2A6E" w:rsidRDefault="00DE2A6E" w:rsidP="00D01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82"/>
    <w:rsid w:val="00106AFE"/>
    <w:rsid w:val="001606B1"/>
    <w:rsid w:val="00177488"/>
    <w:rsid w:val="001E28C7"/>
    <w:rsid w:val="003736C7"/>
    <w:rsid w:val="003E5DBD"/>
    <w:rsid w:val="003F6002"/>
    <w:rsid w:val="00451BAD"/>
    <w:rsid w:val="004655B9"/>
    <w:rsid w:val="005762A6"/>
    <w:rsid w:val="008026B6"/>
    <w:rsid w:val="00855DF5"/>
    <w:rsid w:val="008D3726"/>
    <w:rsid w:val="009F1007"/>
    <w:rsid w:val="00A40BA0"/>
    <w:rsid w:val="00A716C0"/>
    <w:rsid w:val="00AA668A"/>
    <w:rsid w:val="00AC3D1C"/>
    <w:rsid w:val="00B15682"/>
    <w:rsid w:val="00B40FAC"/>
    <w:rsid w:val="00B87F0D"/>
    <w:rsid w:val="00CA0441"/>
    <w:rsid w:val="00D014DF"/>
    <w:rsid w:val="00DA0DEB"/>
    <w:rsid w:val="00DC532E"/>
    <w:rsid w:val="00DE2A6E"/>
    <w:rsid w:val="00E726DB"/>
    <w:rsid w:val="00EA130E"/>
    <w:rsid w:val="00EB091D"/>
    <w:rsid w:val="00ED7F33"/>
    <w:rsid w:val="00EE24E5"/>
    <w:rsid w:val="00F21052"/>
    <w:rsid w:val="00F9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6A4F0-30E2-407A-9AC9-CF2B608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014DF"/>
    <w:pPr>
      <w:spacing w:after="0" w:line="240" w:lineRule="auto"/>
    </w:pPr>
    <w:rPr>
      <w:sz w:val="20"/>
      <w:szCs w:val="20"/>
    </w:rPr>
  </w:style>
  <w:style w:type="character" w:customStyle="1" w:styleId="a4">
    <w:name w:val="Текст сноски Знак"/>
    <w:basedOn w:val="a0"/>
    <w:link w:val="a3"/>
    <w:semiHidden/>
    <w:rsid w:val="00D014DF"/>
    <w:rPr>
      <w:sz w:val="20"/>
      <w:szCs w:val="20"/>
    </w:rPr>
  </w:style>
  <w:style w:type="character" w:styleId="a5">
    <w:name w:val="footnote reference"/>
    <w:uiPriority w:val="99"/>
    <w:semiHidden/>
    <w:unhideWhenUsed/>
    <w:rsid w:val="00D014DF"/>
    <w:rPr>
      <w:vertAlign w:val="superscript"/>
    </w:rPr>
  </w:style>
  <w:style w:type="paragraph" w:styleId="a6">
    <w:name w:val="Balloon Text"/>
    <w:basedOn w:val="a"/>
    <w:link w:val="a7"/>
    <w:uiPriority w:val="99"/>
    <w:semiHidden/>
    <w:unhideWhenUsed/>
    <w:rsid w:val="001606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58759">
      <w:bodyDiv w:val="1"/>
      <w:marLeft w:val="0"/>
      <w:marRight w:val="0"/>
      <w:marTop w:val="0"/>
      <w:marBottom w:val="0"/>
      <w:divBdr>
        <w:top w:val="none" w:sz="0" w:space="0" w:color="auto"/>
        <w:left w:val="none" w:sz="0" w:space="0" w:color="auto"/>
        <w:bottom w:val="none" w:sz="0" w:space="0" w:color="auto"/>
        <w:right w:val="none" w:sz="0" w:space="0" w:color="auto"/>
      </w:divBdr>
    </w:div>
    <w:div w:id="1689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2017-04-05T09:23:00Z</cp:lastPrinted>
  <dcterms:created xsi:type="dcterms:W3CDTF">2017-01-18T11:46:00Z</dcterms:created>
  <dcterms:modified xsi:type="dcterms:W3CDTF">2018-06-06T12:13:00Z</dcterms:modified>
</cp:coreProperties>
</file>