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72" w:rsidRPr="00AB1172" w:rsidRDefault="00AB1172" w:rsidP="006F7F9E">
      <w:pPr>
        <w:spacing w:after="0" w:line="240" w:lineRule="auto"/>
        <w:ind w:left="5818" w:right="-288"/>
        <w:jc w:val="both"/>
        <w:rPr>
          <w:rFonts w:ascii="Times New Roman" w:eastAsia="Times New Roman" w:hAnsi="Times New Roman" w:cs="Times New Roman"/>
          <w:b/>
          <w:i/>
          <w:sz w:val="20"/>
          <w:szCs w:val="20"/>
          <w:lang w:eastAsia="ru-RU"/>
        </w:rPr>
      </w:pPr>
      <w:r w:rsidRPr="00AB1172">
        <w:rPr>
          <w:rFonts w:ascii="Times New Roman" w:eastAsia="Times New Roman" w:hAnsi="Times New Roman" w:cs="Times New Roman"/>
          <w:b/>
          <w:i/>
          <w:sz w:val="20"/>
          <w:szCs w:val="20"/>
          <w:lang w:eastAsia="ru-RU"/>
        </w:rPr>
        <w:t>УТВЕРЖДЕНО</w:t>
      </w:r>
    </w:p>
    <w:p w:rsidR="00AB1172" w:rsidRPr="00AB1172" w:rsidRDefault="00AB1172" w:rsidP="006F7F9E">
      <w:pPr>
        <w:spacing w:after="0" w:line="240" w:lineRule="auto"/>
        <w:ind w:left="5818" w:right="-288"/>
        <w:jc w:val="both"/>
        <w:rPr>
          <w:rFonts w:ascii="Times New Roman" w:eastAsia="Times New Roman" w:hAnsi="Times New Roman" w:cs="Times New Roman"/>
          <w:b/>
          <w:i/>
          <w:sz w:val="20"/>
          <w:szCs w:val="20"/>
          <w:lang w:eastAsia="ru-RU"/>
        </w:rPr>
      </w:pPr>
      <w:r w:rsidRPr="00AB1172">
        <w:rPr>
          <w:rFonts w:ascii="Times New Roman" w:eastAsia="Times New Roman" w:hAnsi="Times New Roman" w:cs="Times New Roman"/>
          <w:b/>
          <w:i/>
          <w:sz w:val="20"/>
          <w:szCs w:val="20"/>
          <w:lang w:eastAsia="ru-RU"/>
        </w:rPr>
        <w:t xml:space="preserve">Протокол заседания Совета директоров </w:t>
      </w:r>
    </w:p>
    <w:p w:rsidR="00AB1172" w:rsidRPr="00AB1172" w:rsidRDefault="00AB1172" w:rsidP="006F7F9E">
      <w:pPr>
        <w:spacing w:after="0" w:line="240" w:lineRule="auto"/>
        <w:ind w:left="5818" w:right="-288"/>
        <w:jc w:val="both"/>
        <w:rPr>
          <w:rFonts w:ascii="Times New Roman" w:eastAsia="Times New Roman" w:hAnsi="Times New Roman" w:cs="Times New Roman"/>
          <w:b/>
          <w:i/>
          <w:sz w:val="20"/>
          <w:szCs w:val="20"/>
          <w:lang w:eastAsia="ru-RU"/>
        </w:rPr>
      </w:pPr>
      <w:r w:rsidRPr="00AB1172">
        <w:rPr>
          <w:rFonts w:ascii="Times New Roman" w:eastAsia="Times New Roman" w:hAnsi="Times New Roman" w:cs="Times New Roman"/>
          <w:b/>
          <w:i/>
          <w:sz w:val="20"/>
          <w:szCs w:val="20"/>
          <w:lang w:eastAsia="ru-RU"/>
        </w:rPr>
        <w:t>ООО «Московские партнеры»</w:t>
      </w:r>
    </w:p>
    <w:p w:rsidR="00AB1172" w:rsidRPr="00AB1172" w:rsidRDefault="00213568" w:rsidP="006F7F9E">
      <w:pPr>
        <w:spacing w:after="0" w:line="240" w:lineRule="auto"/>
        <w:ind w:left="5818" w:right="-288"/>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04/04 от 04 апреля</w:t>
      </w:r>
      <w:r w:rsidR="00AB1172" w:rsidRPr="00AB1172">
        <w:rPr>
          <w:rFonts w:ascii="Times New Roman" w:eastAsia="Times New Roman" w:hAnsi="Times New Roman" w:cs="Times New Roman"/>
          <w:b/>
          <w:i/>
          <w:sz w:val="20"/>
          <w:szCs w:val="20"/>
          <w:lang w:eastAsia="ru-RU"/>
        </w:rPr>
        <w:t xml:space="preserve"> 2017г</w:t>
      </w:r>
    </w:p>
    <w:p w:rsidR="00AB1172" w:rsidRPr="00AB1172" w:rsidRDefault="00AB1172" w:rsidP="006F7F9E">
      <w:pPr>
        <w:spacing w:after="0" w:line="240" w:lineRule="auto"/>
        <w:ind w:left="5818" w:right="-288"/>
        <w:jc w:val="both"/>
        <w:rPr>
          <w:rFonts w:ascii="Times New Roman" w:eastAsia="Times New Roman" w:hAnsi="Times New Roman" w:cs="Times New Roman"/>
          <w:b/>
          <w:i/>
          <w:sz w:val="20"/>
          <w:szCs w:val="20"/>
          <w:lang w:eastAsia="ru-RU"/>
        </w:rPr>
      </w:pPr>
      <w:r w:rsidRPr="00AB1172">
        <w:rPr>
          <w:rFonts w:ascii="Times New Roman" w:eastAsia="Times New Roman" w:hAnsi="Times New Roman" w:cs="Times New Roman"/>
          <w:b/>
          <w:i/>
          <w:sz w:val="20"/>
          <w:szCs w:val="20"/>
          <w:lang w:eastAsia="ru-RU"/>
        </w:rPr>
        <w:t>Председатель Совета директоров ______________ Коган Е.Б.</w:t>
      </w:r>
    </w:p>
    <w:p w:rsidR="00AB1172" w:rsidRPr="00AB1172" w:rsidRDefault="00AB1172" w:rsidP="006F7F9E">
      <w:pPr>
        <w:spacing w:after="0" w:line="240" w:lineRule="auto"/>
        <w:ind w:left="5818" w:right="-288"/>
        <w:jc w:val="both"/>
        <w:rPr>
          <w:rFonts w:ascii="Times New Roman" w:eastAsia="Times New Roman" w:hAnsi="Times New Roman" w:cs="Times New Roman"/>
          <w:b/>
          <w:i/>
          <w:sz w:val="20"/>
          <w:szCs w:val="20"/>
          <w:lang w:eastAsia="ru-RU"/>
        </w:rPr>
      </w:pPr>
    </w:p>
    <w:p w:rsidR="00D014DF" w:rsidRDefault="00855DF5" w:rsidP="006F7F9E">
      <w:pPr>
        <w:spacing w:after="0" w:line="240" w:lineRule="auto"/>
        <w:ind w:left="5818" w:right="-288"/>
        <w:jc w:val="both"/>
        <w:rPr>
          <w:rFonts w:ascii="Times New Roman" w:eastAsia="Times New Roman" w:hAnsi="Times New Roman" w:cs="Times New Roman"/>
          <w:b/>
          <w:i/>
          <w:sz w:val="20"/>
          <w:szCs w:val="20"/>
          <w:lang w:eastAsia="ru-RU"/>
        </w:rPr>
      </w:pPr>
      <w:r w:rsidRPr="00AB1172">
        <w:rPr>
          <w:rFonts w:ascii="Times New Roman" w:eastAsia="Times New Roman" w:hAnsi="Times New Roman" w:cs="Times New Roman"/>
          <w:b/>
          <w:i/>
          <w:sz w:val="20"/>
          <w:szCs w:val="20"/>
          <w:lang w:eastAsia="ru-RU"/>
        </w:rPr>
        <w:t>Приложение № --</w:t>
      </w:r>
      <w:r w:rsidR="00D014DF" w:rsidRPr="00AB1172">
        <w:rPr>
          <w:rFonts w:ascii="Times New Roman" w:eastAsia="Times New Roman" w:hAnsi="Times New Roman" w:cs="Times New Roman"/>
          <w:b/>
          <w:i/>
          <w:sz w:val="20"/>
          <w:szCs w:val="20"/>
          <w:lang w:eastAsia="ru-RU"/>
        </w:rPr>
        <w:t xml:space="preserve"> к Договору на брокерское обслуживание № ___ от «___» __________ 20___г.</w:t>
      </w:r>
    </w:p>
    <w:p w:rsidR="006F7F9E" w:rsidRPr="00AB1172" w:rsidRDefault="006F7F9E" w:rsidP="006F7F9E">
      <w:pPr>
        <w:spacing w:after="0" w:line="240" w:lineRule="auto"/>
        <w:ind w:left="5818" w:right="-288"/>
        <w:jc w:val="both"/>
        <w:rPr>
          <w:rFonts w:ascii="Times New Roman" w:eastAsia="Times New Roman" w:hAnsi="Times New Roman" w:cs="Times New Roman"/>
          <w:b/>
          <w:i/>
          <w:sz w:val="20"/>
          <w:szCs w:val="20"/>
          <w:lang w:eastAsia="ru-RU"/>
        </w:rPr>
      </w:pPr>
    </w:p>
    <w:p w:rsidR="004655B9" w:rsidRPr="00AB1172" w:rsidRDefault="004655B9" w:rsidP="00AB1172">
      <w:pPr>
        <w:spacing w:after="0" w:line="240" w:lineRule="auto"/>
        <w:jc w:val="both"/>
        <w:rPr>
          <w:rFonts w:ascii="Times New Roman" w:hAnsi="Times New Roman" w:cs="Times New Roman"/>
          <w:b/>
          <w:sz w:val="20"/>
          <w:szCs w:val="20"/>
        </w:rPr>
      </w:pPr>
      <w:r w:rsidRPr="00AB1172">
        <w:rPr>
          <w:rFonts w:ascii="Times New Roman" w:hAnsi="Times New Roman" w:cs="Times New Roman"/>
          <w:b/>
          <w:sz w:val="20"/>
          <w:szCs w:val="20"/>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AB1172" w:rsidRPr="00AB1172" w:rsidRDefault="00AB1172" w:rsidP="00AB1172">
      <w:pPr>
        <w:spacing w:after="0" w:line="240" w:lineRule="auto"/>
        <w:jc w:val="center"/>
        <w:rPr>
          <w:rFonts w:ascii="Times New Roman" w:hAnsi="Times New Roman" w:cs="Times New Roman"/>
          <w:b/>
          <w:sz w:val="20"/>
          <w:szCs w:val="20"/>
        </w:rPr>
      </w:pPr>
      <w:r w:rsidRPr="00AB1172">
        <w:rPr>
          <w:rFonts w:ascii="Times New Roman" w:hAnsi="Times New Roman" w:cs="Times New Roman"/>
          <w:b/>
          <w:sz w:val="20"/>
          <w:szCs w:val="20"/>
        </w:rPr>
        <w:t>(брокерская деятельность)</w:t>
      </w:r>
    </w:p>
    <w:p w:rsidR="00AB1172" w:rsidRPr="00AB1172" w:rsidRDefault="00AB1172" w:rsidP="00AB1172">
      <w:pPr>
        <w:spacing w:after="0" w:line="240" w:lineRule="auto"/>
        <w:jc w:val="center"/>
        <w:rPr>
          <w:rFonts w:ascii="Times New Roman" w:hAnsi="Times New Roman" w:cs="Times New Roman"/>
          <w:b/>
          <w:sz w:val="20"/>
          <w:szCs w:val="20"/>
        </w:rPr>
      </w:pPr>
    </w:p>
    <w:p w:rsidR="00AB1172" w:rsidRPr="00AB1172" w:rsidRDefault="00AB1172" w:rsidP="00AB1172">
      <w:pPr>
        <w:spacing w:after="0" w:line="240" w:lineRule="auto"/>
        <w:jc w:val="center"/>
        <w:rPr>
          <w:rFonts w:ascii="Times New Roman" w:hAnsi="Times New Roman" w:cs="Times New Roman"/>
          <w:b/>
          <w:sz w:val="20"/>
          <w:szCs w:val="20"/>
        </w:rPr>
      </w:pPr>
    </w:p>
    <w:p w:rsidR="004655B9" w:rsidRPr="00AB1172" w:rsidRDefault="004655B9" w:rsidP="004655B9">
      <w:pPr>
        <w:spacing w:after="100" w:afterAutospacing="1"/>
        <w:ind w:firstLine="250"/>
        <w:jc w:val="both"/>
        <w:rPr>
          <w:rFonts w:ascii="Times New Roman" w:hAnsi="Times New Roman" w:cs="Times New Roman"/>
          <w:sz w:val="20"/>
          <w:szCs w:val="20"/>
        </w:rPr>
      </w:pPr>
      <w:r w:rsidRPr="00AB1172">
        <w:rPr>
          <w:rFonts w:ascii="Times New Roman" w:hAnsi="Times New Roman" w:cs="Times New Roman"/>
          <w:sz w:val="20"/>
          <w:szCs w:val="20"/>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4655B9" w:rsidRPr="00AB1172" w:rsidRDefault="004655B9" w:rsidP="004655B9">
      <w:pPr>
        <w:spacing w:after="100" w:afterAutospacing="1"/>
        <w:jc w:val="both"/>
        <w:rPr>
          <w:rFonts w:ascii="Times New Roman" w:hAnsi="Times New Roman" w:cs="Times New Roman"/>
          <w:b/>
          <w:sz w:val="20"/>
          <w:szCs w:val="20"/>
        </w:rPr>
      </w:pPr>
      <w:r w:rsidRPr="00AB1172">
        <w:rPr>
          <w:rFonts w:ascii="Times New Roman" w:hAnsi="Times New Roman" w:cs="Times New Roman"/>
          <w:b/>
          <w:sz w:val="20"/>
          <w:szCs w:val="20"/>
        </w:rPr>
        <w:t>Риски, связанные производными финансовыми инструментами</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4655B9" w:rsidRPr="00AB1172" w:rsidRDefault="004655B9" w:rsidP="004655B9">
      <w:pPr>
        <w:ind w:firstLine="250"/>
        <w:jc w:val="both"/>
        <w:rPr>
          <w:rFonts w:ascii="Times New Roman" w:hAnsi="Times New Roman" w:cs="Times New Roman"/>
          <w:sz w:val="20"/>
          <w:szCs w:val="20"/>
        </w:rPr>
      </w:pP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Рыночный (ценовой) риск</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4655B9" w:rsidRPr="00AB1172" w:rsidRDefault="004655B9" w:rsidP="004655B9">
      <w:pPr>
        <w:ind w:firstLine="250"/>
        <w:jc w:val="both"/>
        <w:rPr>
          <w:rFonts w:ascii="Times New Roman" w:hAnsi="Times New Roman" w:cs="Times New Roman"/>
          <w:sz w:val="20"/>
          <w:szCs w:val="20"/>
        </w:rPr>
      </w:pP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lastRenderedPageBreak/>
        <w:t xml:space="preserve">Риск ликвидности </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4655B9" w:rsidRPr="00AB1172" w:rsidRDefault="004655B9" w:rsidP="004655B9">
      <w:pPr>
        <w:ind w:firstLine="250"/>
        <w:jc w:val="both"/>
        <w:rPr>
          <w:rFonts w:ascii="Times New Roman" w:hAnsi="Times New Roman" w:cs="Times New Roman"/>
          <w:sz w:val="20"/>
          <w:szCs w:val="20"/>
        </w:rPr>
      </w:pP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 xml:space="preserve">Ограничение распоряжения средствами, являющимися обеспечением  </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4655B9" w:rsidRPr="00AB1172" w:rsidRDefault="004655B9" w:rsidP="004655B9">
      <w:pPr>
        <w:ind w:firstLine="250"/>
        <w:jc w:val="both"/>
        <w:rPr>
          <w:rFonts w:ascii="Times New Roman" w:hAnsi="Times New Roman" w:cs="Times New Roman"/>
          <w:sz w:val="20"/>
          <w:szCs w:val="20"/>
        </w:rPr>
      </w:pP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Риск принудительного закрытия позиции</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w:t>
      </w:r>
      <w:r w:rsidR="006F7F9E" w:rsidRPr="00AB1172">
        <w:rPr>
          <w:rFonts w:ascii="Times New Roman" w:hAnsi="Times New Roman" w:cs="Times New Roman"/>
          <w:sz w:val="20"/>
          <w:szCs w:val="20"/>
        </w:rPr>
        <w:t>направление,</w:t>
      </w:r>
      <w:r w:rsidRPr="00AB1172">
        <w:rPr>
          <w:rFonts w:ascii="Times New Roman" w:hAnsi="Times New Roman" w:cs="Times New Roman"/>
          <w:sz w:val="20"/>
          <w:szCs w:val="20"/>
        </w:rPr>
        <w:t xml:space="preserve"> и Вы получили бы доход, если бы Ваша позиция не была закрыта. </w:t>
      </w:r>
    </w:p>
    <w:p w:rsidR="004655B9" w:rsidRPr="00AB1172" w:rsidRDefault="004655B9" w:rsidP="004655B9">
      <w:pPr>
        <w:ind w:firstLine="250"/>
        <w:jc w:val="both"/>
        <w:rPr>
          <w:rFonts w:ascii="Times New Roman" w:hAnsi="Times New Roman" w:cs="Times New Roman"/>
          <w:b/>
          <w:sz w:val="20"/>
          <w:szCs w:val="20"/>
        </w:rPr>
      </w:pPr>
    </w:p>
    <w:p w:rsidR="004655B9" w:rsidRPr="00AB1172" w:rsidRDefault="004655B9" w:rsidP="004655B9">
      <w:pPr>
        <w:ind w:firstLine="250"/>
        <w:jc w:val="both"/>
        <w:rPr>
          <w:rFonts w:ascii="Times New Roman" w:hAnsi="Times New Roman" w:cs="Times New Roman"/>
          <w:b/>
          <w:sz w:val="20"/>
          <w:szCs w:val="20"/>
        </w:rPr>
      </w:pPr>
      <w:r w:rsidRPr="00AB1172">
        <w:rPr>
          <w:rFonts w:ascii="Times New Roman" w:hAnsi="Times New Roman" w:cs="Times New Roman"/>
          <w:b/>
          <w:sz w:val="20"/>
          <w:szCs w:val="20"/>
        </w:rPr>
        <w:t>Риски, обусловленные иностранным происхождением базисного актива</w:t>
      </w:r>
    </w:p>
    <w:p w:rsidR="004655B9" w:rsidRPr="00AB1172" w:rsidRDefault="004655B9" w:rsidP="004655B9">
      <w:pPr>
        <w:spacing w:after="100" w:afterAutospacing="1"/>
        <w:ind w:firstLine="250"/>
        <w:jc w:val="both"/>
        <w:rPr>
          <w:rFonts w:ascii="Times New Roman" w:hAnsi="Times New Roman" w:cs="Times New Roman"/>
          <w:sz w:val="20"/>
          <w:szCs w:val="20"/>
        </w:rPr>
      </w:pPr>
      <w:r w:rsidRPr="00AB1172">
        <w:rPr>
          <w:rFonts w:ascii="Times New Roman" w:hAnsi="Times New Roman" w:cs="Times New Roman"/>
          <w:sz w:val="20"/>
          <w:szCs w:val="20"/>
        </w:rPr>
        <w:t>Системные риски</w:t>
      </w:r>
    </w:p>
    <w:p w:rsidR="004655B9" w:rsidRPr="00AB1172" w:rsidRDefault="004655B9" w:rsidP="004655B9">
      <w:pPr>
        <w:spacing w:after="100" w:afterAutospacing="1"/>
        <w:ind w:firstLine="250"/>
        <w:jc w:val="both"/>
        <w:rPr>
          <w:rFonts w:ascii="Times New Roman" w:hAnsi="Times New Roman" w:cs="Times New Roman"/>
          <w:sz w:val="20"/>
          <w:szCs w:val="20"/>
        </w:rPr>
      </w:pPr>
      <w:r w:rsidRPr="00AB1172">
        <w:rPr>
          <w:rFonts w:ascii="Times New Roman" w:hAnsi="Times New Roman" w:cs="Times New Roman"/>
          <w:sz w:val="20"/>
          <w:szCs w:val="20"/>
        </w:rPr>
        <w:lastRenderedPageBreak/>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Правовые риски</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4655B9" w:rsidRPr="00AB1172" w:rsidRDefault="004655B9" w:rsidP="004655B9">
      <w:pPr>
        <w:ind w:firstLine="250"/>
        <w:jc w:val="both"/>
        <w:rPr>
          <w:rFonts w:ascii="Times New Roman" w:hAnsi="Times New Roman" w:cs="Times New Roman"/>
          <w:sz w:val="20"/>
          <w:szCs w:val="20"/>
        </w:rPr>
      </w:pP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Раскрытие информации</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4655B9" w:rsidRPr="00AB1172" w:rsidRDefault="004655B9" w:rsidP="004655B9">
      <w:pPr>
        <w:ind w:firstLine="250"/>
        <w:jc w:val="both"/>
        <w:rPr>
          <w:rFonts w:ascii="Times New Roman" w:hAnsi="Times New Roman" w:cs="Times New Roman"/>
          <w:sz w:val="20"/>
          <w:szCs w:val="20"/>
        </w:rPr>
      </w:pPr>
      <w:r w:rsidRPr="00AB1172">
        <w:rPr>
          <w:rFonts w:ascii="Times New Roman" w:hAnsi="Times New Roman" w:cs="Times New Roman"/>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4655B9" w:rsidRPr="00AB1172" w:rsidRDefault="004655B9" w:rsidP="004655B9">
      <w:pPr>
        <w:spacing w:before="240"/>
        <w:ind w:firstLine="250"/>
        <w:jc w:val="center"/>
        <w:rPr>
          <w:rFonts w:ascii="Times New Roman" w:hAnsi="Times New Roman" w:cs="Times New Roman"/>
          <w:sz w:val="20"/>
          <w:szCs w:val="20"/>
        </w:rPr>
      </w:pPr>
      <w:r w:rsidRPr="00AB1172">
        <w:rPr>
          <w:rFonts w:ascii="Times New Roman" w:hAnsi="Times New Roman" w:cs="Times New Roman"/>
          <w:sz w:val="20"/>
          <w:szCs w:val="20"/>
        </w:rPr>
        <w:t>***</w:t>
      </w:r>
    </w:p>
    <w:p w:rsidR="005762A6" w:rsidRDefault="004655B9" w:rsidP="004655B9">
      <w:pPr>
        <w:spacing w:after="100" w:afterAutospacing="1" w:line="240" w:lineRule="auto"/>
        <w:jc w:val="both"/>
        <w:rPr>
          <w:rFonts w:ascii="Times New Roman" w:hAnsi="Times New Roman" w:cs="Times New Roman"/>
          <w:sz w:val="20"/>
          <w:szCs w:val="20"/>
        </w:rPr>
      </w:pPr>
      <w:r w:rsidRPr="00AB1172">
        <w:rPr>
          <w:rFonts w:ascii="Times New Roman" w:hAnsi="Times New Roman" w:cs="Times New Roman"/>
          <w:sz w:val="20"/>
          <w:szCs w:val="20"/>
        </w:rPr>
        <w:lastRenderedPageBreak/>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174EE" w:rsidRDefault="003174EE" w:rsidP="003174EE">
      <w:pPr>
        <w:jc w:val="both"/>
        <w:rPr>
          <w:rFonts w:ascii="Times New Roman" w:hAnsi="Times New Roman" w:cs="Times New Roman"/>
          <w:b/>
          <w:bCs/>
          <w:sz w:val="24"/>
          <w:szCs w:val="24"/>
        </w:rPr>
      </w:pPr>
      <w:r>
        <w:rPr>
          <w:rFonts w:ascii="Times New Roman" w:hAnsi="Times New Roman" w:cs="Times New Roman"/>
          <w:b/>
          <w:bCs/>
          <w:sz w:val="24"/>
          <w:szCs w:val="24"/>
        </w:rPr>
        <w:t>Убедитесь, что настоящ</w:t>
      </w:r>
      <w:r>
        <w:rPr>
          <w:rFonts w:ascii="Times New Roman" w:hAnsi="Times New Roman" w:cs="Times New Roman"/>
          <w:b/>
          <w:bCs/>
          <w:sz w:val="24"/>
          <w:szCs w:val="24"/>
        </w:rPr>
        <w:t>ая Декларация о рисках понятна В</w:t>
      </w:r>
      <w:bookmarkStart w:id="0" w:name="_GoBack"/>
      <w:bookmarkEnd w:id="0"/>
      <w:r>
        <w:rPr>
          <w:rFonts w:ascii="Times New Roman" w:hAnsi="Times New Roman" w:cs="Times New Roman"/>
          <w:b/>
          <w:bCs/>
          <w:sz w:val="24"/>
          <w:szCs w:val="24"/>
        </w:rPr>
        <w:t>ам, и при необходимости получите разъяснения у Вашего брокера или консультанта, специализирующегося на соответствующих вопросах.</w:t>
      </w:r>
    </w:p>
    <w:tbl>
      <w:tblPr>
        <w:tblW w:w="9464" w:type="dxa"/>
        <w:tblCellMar>
          <w:left w:w="0" w:type="dxa"/>
          <w:right w:w="0" w:type="dxa"/>
        </w:tblCellMar>
        <w:tblLook w:val="04A0" w:firstRow="1" w:lastRow="0" w:firstColumn="1" w:lastColumn="0" w:noHBand="0" w:noVBand="1"/>
      </w:tblPr>
      <w:tblGrid>
        <w:gridCol w:w="9464"/>
      </w:tblGrid>
      <w:tr w:rsidR="003174EE" w:rsidTr="003174EE">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4EE" w:rsidRDefault="003174EE">
            <w:pPr>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КЛИЕНТ</w:t>
            </w:r>
          </w:p>
        </w:tc>
      </w:tr>
      <w:tr w:rsidR="003174EE" w:rsidTr="003174EE">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74EE" w:rsidRDefault="003174EE">
            <w:pPr>
              <w:spacing w:line="360" w:lineRule="auto"/>
              <w:ind w:firstLine="567"/>
              <w:rPr>
                <w:rFonts w:ascii="Times New Roman" w:hAnsi="Times New Roman" w:cs="Times New Roman"/>
                <w:sz w:val="24"/>
                <w:szCs w:val="24"/>
              </w:rPr>
            </w:pPr>
          </w:p>
        </w:tc>
      </w:tr>
      <w:tr w:rsidR="003174EE" w:rsidTr="003174EE">
        <w:trPr>
          <w:trHeight w:val="2421"/>
        </w:trPr>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74EE" w:rsidRDefault="003174EE">
            <w:pPr>
              <w:spacing w:line="360" w:lineRule="auto"/>
              <w:ind w:firstLine="567"/>
              <w:jc w:val="center"/>
              <w:rPr>
                <w:rFonts w:ascii="Times New Roman" w:hAnsi="Times New Roman" w:cs="Times New Roman"/>
                <w:i/>
                <w:sz w:val="18"/>
                <w:szCs w:val="18"/>
              </w:rPr>
            </w:pPr>
            <w:r>
              <w:rPr>
                <w:rFonts w:ascii="Times New Roman" w:hAnsi="Times New Roman" w:cs="Times New Roman"/>
                <w:i/>
                <w:sz w:val="18"/>
                <w:szCs w:val="18"/>
              </w:rPr>
              <w:t>Полное наименование / Ф.И.О полностью</w:t>
            </w:r>
          </w:p>
          <w:p w:rsidR="003174EE" w:rsidRDefault="003174EE">
            <w:pPr>
              <w:spacing w:line="360" w:lineRule="auto"/>
              <w:ind w:firstLine="567"/>
              <w:jc w:val="center"/>
              <w:rPr>
                <w:rFonts w:ascii="Times New Roman" w:hAnsi="Times New Roman" w:cs="Times New Roman"/>
                <w:sz w:val="24"/>
                <w:szCs w:val="24"/>
              </w:rPr>
            </w:pPr>
          </w:p>
          <w:p w:rsidR="003174EE" w:rsidRDefault="003174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174EE" w:rsidRDefault="003174EE">
            <w:pPr>
              <w:spacing w:after="0" w:line="240" w:lineRule="auto"/>
              <w:ind w:firstLine="567"/>
              <w:jc w:val="both"/>
              <w:rPr>
                <w:rFonts w:ascii="Times New Roman" w:hAnsi="Times New Roman" w:cs="Times New Roman"/>
                <w:i/>
                <w:sz w:val="18"/>
                <w:szCs w:val="18"/>
              </w:rPr>
            </w:pPr>
            <w:r>
              <w:rPr>
                <w:rFonts w:ascii="Times New Roman" w:hAnsi="Times New Roman" w:cs="Times New Roman"/>
                <w:i/>
                <w:sz w:val="18"/>
                <w:szCs w:val="18"/>
              </w:rPr>
              <w:t xml:space="preserve">                       (подпись)                                       (Ф.И.О.)</w:t>
            </w:r>
          </w:p>
          <w:p w:rsidR="003174EE" w:rsidRDefault="003174EE">
            <w:pPr>
              <w:spacing w:line="360" w:lineRule="auto"/>
              <w:ind w:firstLine="567"/>
              <w:jc w:val="center"/>
              <w:rPr>
                <w:rFonts w:ascii="Times New Roman" w:hAnsi="Times New Roman" w:cs="Times New Roman"/>
                <w:i/>
                <w:sz w:val="18"/>
                <w:szCs w:val="18"/>
              </w:rPr>
            </w:pPr>
          </w:p>
          <w:p w:rsidR="003174EE" w:rsidRDefault="003174EE">
            <w:pPr>
              <w:spacing w:after="2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Подписано «___» _______________ 201__ г.</w:t>
            </w:r>
          </w:p>
          <w:p w:rsidR="003174EE" w:rsidRDefault="003174EE">
            <w:pPr>
              <w:spacing w:after="20" w:line="360" w:lineRule="auto"/>
              <w:ind w:firstLine="567"/>
              <w:jc w:val="both"/>
              <w:rPr>
                <w:rFonts w:ascii="Times New Roman" w:hAnsi="Times New Roman" w:cs="Times New Roman"/>
                <w:sz w:val="24"/>
                <w:szCs w:val="24"/>
              </w:rPr>
            </w:pPr>
          </w:p>
        </w:tc>
      </w:tr>
    </w:tbl>
    <w:p w:rsidR="006F7F9E" w:rsidRDefault="006F7F9E" w:rsidP="006F7F9E">
      <w:pPr>
        <w:spacing w:line="360" w:lineRule="auto"/>
        <w:ind w:firstLine="567"/>
        <w:rPr>
          <w:rFonts w:ascii="Times New Roman" w:hAnsi="Times New Roman" w:cs="Times New Roman"/>
          <w:sz w:val="24"/>
          <w:szCs w:val="24"/>
        </w:rPr>
      </w:pPr>
    </w:p>
    <w:p w:rsidR="006F7F9E" w:rsidRPr="00AB1172" w:rsidRDefault="006F7F9E" w:rsidP="004655B9">
      <w:pPr>
        <w:spacing w:after="100" w:afterAutospacing="1" w:line="240" w:lineRule="auto"/>
        <w:jc w:val="both"/>
        <w:rPr>
          <w:rFonts w:ascii="Times New Roman" w:hAnsi="Times New Roman" w:cs="Times New Roman"/>
          <w:sz w:val="20"/>
          <w:szCs w:val="20"/>
        </w:rPr>
      </w:pPr>
    </w:p>
    <w:sectPr w:rsidR="006F7F9E" w:rsidRPr="00AB11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E3" w:rsidRDefault="001E38E3" w:rsidP="00D014DF">
      <w:pPr>
        <w:spacing w:after="0" w:line="240" w:lineRule="auto"/>
      </w:pPr>
      <w:r>
        <w:separator/>
      </w:r>
    </w:p>
  </w:endnote>
  <w:endnote w:type="continuationSeparator" w:id="0">
    <w:p w:rsidR="001E38E3" w:rsidRDefault="001E38E3" w:rsidP="00D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E3" w:rsidRDefault="001E38E3" w:rsidP="00D014DF">
      <w:pPr>
        <w:spacing w:after="0" w:line="240" w:lineRule="auto"/>
      </w:pPr>
      <w:r>
        <w:separator/>
      </w:r>
    </w:p>
  </w:footnote>
  <w:footnote w:type="continuationSeparator" w:id="0">
    <w:p w:rsidR="001E38E3" w:rsidRDefault="001E38E3" w:rsidP="00D01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82"/>
    <w:rsid w:val="00106AFE"/>
    <w:rsid w:val="001E38E3"/>
    <w:rsid w:val="00213568"/>
    <w:rsid w:val="003174EE"/>
    <w:rsid w:val="003F6002"/>
    <w:rsid w:val="00451BAD"/>
    <w:rsid w:val="004655B9"/>
    <w:rsid w:val="004B67C2"/>
    <w:rsid w:val="00556D7A"/>
    <w:rsid w:val="005762A6"/>
    <w:rsid w:val="005B7240"/>
    <w:rsid w:val="006F7F9E"/>
    <w:rsid w:val="008026B6"/>
    <w:rsid w:val="00855DF5"/>
    <w:rsid w:val="00A40BA0"/>
    <w:rsid w:val="00AB1172"/>
    <w:rsid w:val="00B15682"/>
    <w:rsid w:val="00D014DF"/>
    <w:rsid w:val="00DA0DEB"/>
    <w:rsid w:val="00DB6C68"/>
    <w:rsid w:val="00DC532E"/>
    <w:rsid w:val="00EE24E5"/>
    <w:rsid w:val="00F21052"/>
    <w:rsid w:val="00F9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5E01-BEB0-4285-98E2-A5696CD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014DF"/>
    <w:pPr>
      <w:spacing w:after="0" w:line="240" w:lineRule="auto"/>
    </w:pPr>
    <w:rPr>
      <w:sz w:val="20"/>
      <w:szCs w:val="20"/>
    </w:rPr>
  </w:style>
  <w:style w:type="character" w:customStyle="1" w:styleId="a4">
    <w:name w:val="Текст сноски Знак"/>
    <w:basedOn w:val="a0"/>
    <w:link w:val="a3"/>
    <w:semiHidden/>
    <w:rsid w:val="00D014DF"/>
    <w:rPr>
      <w:sz w:val="20"/>
      <w:szCs w:val="20"/>
    </w:rPr>
  </w:style>
  <w:style w:type="character" w:styleId="a5">
    <w:name w:val="footnote reference"/>
    <w:uiPriority w:val="99"/>
    <w:semiHidden/>
    <w:unhideWhenUsed/>
    <w:rsid w:val="00D0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075">
      <w:bodyDiv w:val="1"/>
      <w:marLeft w:val="0"/>
      <w:marRight w:val="0"/>
      <w:marTop w:val="0"/>
      <w:marBottom w:val="0"/>
      <w:divBdr>
        <w:top w:val="none" w:sz="0" w:space="0" w:color="auto"/>
        <w:left w:val="none" w:sz="0" w:space="0" w:color="auto"/>
        <w:bottom w:val="none" w:sz="0" w:space="0" w:color="auto"/>
        <w:right w:val="none" w:sz="0" w:space="0" w:color="auto"/>
      </w:divBdr>
    </w:div>
    <w:div w:id="1689020314">
      <w:bodyDiv w:val="1"/>
      <w:marLeft w:val="0"/>
      <w:marRight w:val="0"/>
      <w:marTop w:val="0"/>
      <w:marBottom w:val="0"/>
      <w:divBdr>
        <w:top w:val="none" w:sz="0" w:space="0" w:color="auto"/>
        <w:left w:val="none" w:sz="0" w:space="0" w:color="auto"/>
        <w:bottom w:val="none" w:sz="0" w:space="0" w:color="auto"/>
        <w:right w:val="none" w:sz="0" w:space="0" w:color="auto"/>
      </w:divBdr>
    </w:div>
    <w:div w:id="17304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2017-04-05T09:20:00Z</cp:lastPrinted>
  <dcterms:created xsi:type="dcterms:W3CDTF">2017-01-18T11:41:00Z</dcterms:created>
  <dcterms:modified xsi:type="dcterms:W3CDTF">2018-06-06T12:16:00Z</dcterms:modified>
</cp:coreProperties>
</file>